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6096" w:hanging="0"/>
        <w:rPr/>
      </w:pPr>
      <w:r>
        <w:rPr>
          <w:sz w:val="28"/>
          <w:szCs w:val="28"/>
        </w:rPr>
        <w:t>УТВЕРЖДЕНО</w:t>
      </w:r>
    </w:p>
    <w:p>
      <w:pPr>
        <w:pStyle w:val="Normal"/>
        <w:ind w:left="6096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096" w:hanging="0"/>
        <w:rPr>
          <w:sz w:val="24"/>
          <w:szCs w:val="24"/>
        </w:rPr>
      </w:pPr>
      <w:r>
        <w:rPr>
          <w:b w:val="false"/>
          <w:bCs w:val="false"/>
          <w:sz w:val="24"/>
          <w:szCs w:val="24"/>
        </w:rPr>
        <w:t>приказом № 29 от 18.04.2024 г.</w:t>
      </w:r>
    </w:p>
    <w:p>
      <w:pPr>
        <w:pStyle w:val="Normal"/>
        <w:spacing w:before="480" w:after="0"/>
        <w:jc w:val="center"/>
        <w:rPr/>
      </w:pPr>
      <w:r>
        <w:rPr>
          <w:b/>
          <w:sz w:val="24"/>
          <w:szCs w:val="24"/>
        </w:rPr>
        <w:t>ПОЛОЖЕНИЕ</w:t>
      </w:r>
    </w:p>
    <w:p>
      <w:pPr>
        <w:pStyle w:val="Normal"/>
        <w:jc w:val="center"/>
        <w:rPr/>
      </w:pPr>
      <w:r>
        <w:rPr>
          <w:b/>
          <w:sz w:val="24"/>
          <w:szCs w:val="24"/>
        </w:rPr>
        <w:t xml:space="preserve">об оценке коррупционных рисков в </w:t>
      </w:r>
      <w:r>
        <w:rPr>
          <w:b/>
          <w:i w:val="false"/>
          <w:iCs w:val="false"/>
          <w:sz w:val="24"/>
          <w:szCs w:val="24"/>
        </w:rPr>
        <w:t>муниципальном унитарном предприятии «Управляющая компания «Север»</w:t>
      </w:r>
    </w:p>
    <w:p>
      <w:pPr>
        <w:pStyle w:val="ConsPlusNormal"/>
        <w:spacing w:lineRule="auto" w:line="360" w:before="48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1. Общие положения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1.1. Оценка коррупционных рисков является важнейшим элементом антикоррупционной политики МУП «УК «Север» (далее – Предприятие), позволяющая обеспечить соответствие реализуемых антикоррупционных мероприятий специфике деятельности Предприятия и рационально использовать ресурсы, направляемые на проведение работы по профилактике коррупции на Предприятии.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1.2. Целью оценки коррупционных рисков является определение конкретных процессов и видов деятельности Предприятия, при реализации которых наиболее высока вероятность совершения работниками Предприятия коррупционных правонарушений, как в целях получения личной выгоды, так и в целях получения выгоды Предприятием.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1.3. Коррупционные риски – это возможность проявления коррупционных явлений и/или возникновения коррупционных ситуаций и как следствие наступление негативных последствий.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 xml:space="preserve">1.4. Настоящее Положение об оценке коррупционных рисков в МУП «УК «Север» (далее – Положение) разработано </w:t>
      </w:r>
      <w:r>
        <w:rPr>
          <w:sz w:val="24"/>
          <w:szCs w:val="24"/>
        </w:rPr>
        <w:t>в соответствии с положениями Федерального закона от 25.12.2008 № 273-ФЗ «О противодействии коррупции»</w:t>
      </w:r>
      <w:r>
        <w:rPr>
          <w:rFonts w:eastAsia="Calibri" w:eastAsiaTheme="minorHAnsi"/>
          <w:color w:val="000000"/>
          <w:sz w:val="24"/>
          <w:szCs w:val="24"/>
          <w:lang w:eastAsia="en-US"/>
        </w:rPr>
        <w:t>.</w:t>
      </w:r>
    </w:p>
    <w:p>
      <w:pPr>
        <w:pStyle w:val="Normal"/>
        <w:rPr>
          <w:rFonts w:ascii="Times New Roman" w:hAnsi="Times New Roman" w:eastAsia="Calibri" w:eastAsiaTheme="minorHAnsi"/>
          <w:b/>
          <w:b/>
          <w:bCs/>
          <w:color w:val="000000"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color w:val="000000"/>
          <w:sz w:val="24"/>
          <w:szCs w:val="24"/>
          <w:lang w:eastAsia="en-US"/>
        </w:rPr>
      </w:r>
    </w:p>
    <w:p>
      <w:pPr>
        <w:pStyle w:val="Normal"/>
        <w:ind w:firstLine="709"/>
        <w:rPr>
          <w:rFonts w:ascii="Times New Roman" w:hAnsi="Times New Roman" w:eastAsia="Calibri" w:eastAsiaTheme="minorHAnsi"/>
          <w:b/>
          <w:b/>
          <w:bCs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b/>
          <w:bCs/>
          <w:color w:val="000000"/>
          <w:sz w:val="24"/>
          <w:szCs w:val="24"/>
          <w:lang w:eastAsia="en-US"/>
        </w:rPr>
        <w:t>2. Порядок проведения оценки коррупционных рисков</w:t>
      </w:r>
    </w:p>
    <w:p>
      <w:pPr>
        <w:pStyle w:val="Normal"/>
        <w:ind w:firstLine="709"/>
        <w:rPr>
          <w:rFonts w:ascii="Times New Roman" w:hAnsi="Times New Roman" w:eastAsia="Calibri" w:eastAsiaTheme="minorHAnsi"/>
          <w:color w:val="000000"/>
          <w:sz w:val="24"/>
          <w:szCs w:val="24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 xml:space="preserve">2.1. Оценка коррупционных рисков в деятельности Предприятия проводится на регулярной основе ежегодно до 1 декабря. 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2.2. Оценку коррупционных рисков в деятельности Предприятия осуществляет должностное лицо, ответственное за профилактику коррупционных и иных правонарушений на Предприятии.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2.3. Этапы проведения оценки коррупционных рисков: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2.3.1. Проведение анализа деятельности Предприятия с выделением направлений деятельности и «критических точек» (определяются работы, услуги, формы деятельности Предприятия, при реализации которых наиболее вероятно возникновение коррупционных правонарушений).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2.3.2. Составление для каждого вида работы, услуги, формы деятельности, при реализации которых наиболее вероятно возникновение коррупционных правонарушений, описания возможных коррупционных правонарушений, включающего: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характеристику выгоды или преимущество, которое может быть получено работником Предприятия или Предприятием при совершении коррупционного правонарушения;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должности работников на Предприятии, которые являются «ключевыми» для совершения коррупционного правонарушения (потенциально коррупциогенные должности);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возможные формы осуществления коррупционных платежей (денежное вознаграждение, услуги, преимущества и т.д.).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2.3.3. Разработка на основании проведенного анализа карты коррупционных рисков (сводное описание «критических точек» и возможных коррупционных правонарушений).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2.3.4. Формирование перечня должностей, замещение которых связано с коррупционным риском.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2.3.5. Разработка комплекса мер по минимизации коррупционных рисков.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Такие меры разрабатываются для каждой «критической точки». В зависимости от специфики конкретного процесса меры по минимизации коррупционных рисков включают в том числе: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а) проведение обучающих мероприятий для работников Предприятия по вопросам противодействия коррупции и разъяснение положений законодательства о мерах ответственности за совершение коррупционных правонарушений;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б) согласование с органом местного самоуправления, осуществляющим функции и полномочия учредителя, решений по отдельным вопросам перед их принятием;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в) создание форм отчетности по результатам принятых решений (отчет о деятельности и т.п.);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г) внедрение систем электронного взаимодействия с гражданами и организациями;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д) осуществление внутреннего контроля исполнения работниками Предприятия своих обязанностей (проверочные мероприятия на основании поступившей информации о проявлениях коррупции).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 xml:space="preserve">2.3.6. Согласование и утверждение приказом Предприятия результатов оценки коррупционных рисков (документов, </w:t>
      </w:r>
      <w:r>
        <w:rPr>
          <w:sz w:val="24"/>
          <w:szCs w:val="24"/>
        </w:rPr>
        <w:t>указанных в подпункте 2.3.4 пункта 2.3, пунктах 3.2 и 3.3 настоящего Положения</w:t>
      </w:r>
      <w:r>
        <w:rPr>
          <w:rFonts w:eastAsia="Calibri" w:eastAsiaTheme="minorHAnsi"/>
          <w:color w:val="000000"/>
          <w:sz w:val="24"/>
          <w:szCs w:val="24"/>
          <w:lang w:eastAsia="en-US"/>
        </w:rPr>
        <w:t>).</w:t>
      </w:r>
    </w:p>
    <w:p>
      <w:pPr>
        <w:pStyle w:val="Normal"/>
        <w:ind w:firstLine="709"/>
        <w:jc w:val="both"/>
        <w:rPr>
          <w:rFonts w:ascii="Times New Roman" w:hAnsi="Times New Roman" w:eastAsia="Calibri" w:eastAsiaTheme="minorHAnsi"/>
          <w:b/>
          <w:b/>
          <w:bCs/>
          <w:color w:val="000000"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color w:val="000000"/>
          <w:sz w:val="24"/>
          <w:szCs w:val="24"/>
          <w:lang w:eastAsia="en-US"/>
        </w:rPr>
      </w:r>
    </w:p>
    <w:p>
      <w:pPr>
        <w:pStyle w:val="Normal"/>
        <w:ind w:left="1276" w:hanging="567"/>
        <w:jc w:val="both"/>
        <w:rPr>
          <w:rFonts w:eastAsia="Calibri" w:eastAsiaTheme="minorHAnsi"/>
          <w:b/>
          <w:b/>
          <w:bCs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b/>
          <w:bCs/>
          <w:color w:val="000000"/>
          <w:sz w:val="24"/>
          <w:szCs w:val="24"/>
          <w:lang w:eastAsia="en-US"/>
        </w:rPr>
        <w:t>3. Карта коррупционных рисков и план мероприятий по минимизации коррупционных рисков</w:t>
      </w:r>
    </w:p>
    <w:p>
      <w:pPr>
        <w:pStyle w:val="Normal"/>
        <w:ind w:firstLine="709"/>
        <w:jc w:val="both"/>
        <w:rPr>
          <w:rFonts w:ascii="Times New Roman" w:hAnsi="Times New Roman" w:eastAsia="Calibri" w:eastAsiaTheme="minorHAnsi"/>
          <w:b/>
          <w:b/>
          <w:bCs/>
          <w:color w:val="000000"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color w:val="000000"/>
          <w:sz w:val="24"/>
          <w:szCs w:val="24"/>
          <w:lang w:eastAsia="en-US"/>
        </w:rPr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3.1. Карта коррупционных рисков содержит: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 xml:space="preserve">а) направления деятельности; 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б) «критические точки»;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в) краткое описание возможных коррупционных схем (наиболее вероятных способов совершения коррупционных правонарушений), выгоды или преимущества, кот</w:t>
      </w:r>
      <w:bookmarkStart w:id="0" w:name="_GoBack"/>
      <w:bookmarkEnd w:id="0"/>
      <w:r>
        <w:rPr>
          <w:rFonts w:eastAsia="Calibri" w:eastAsiaTheme="minorHAnsi"/>
          <w:color w:val="000000"/>
          <w:sz w:val="24"/>
          <w:szCs w:val="24"/>
          <w:lang w:eastAsia="en-US"/>
        </w:rPr>
        <w:t>орые могут быть получены отдельными работниками при совершении коррупционного правонарушения;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г) должности работников Предприятия, деятельность которых связана с коррупционными рисками;</w:t>
      </w:r>
    </w:p>
    <w:p>
      <w:pPr>
        <w:pStyle w:val="Normal"/>
        <w:spacing w:lineRule="auto" w:line="360"/>
        <w:ind w:firstLine="709"/>
        <w:jc w:val="both"/>
        <w:rPr>
          <w:rFonts w:eastAsia="Calibri" w:eastAsiaTheme="minorHAnsi"/>
          <w:color w:val="000000"/>
          <w:sz w:val="28"/>
          <w:szCs w:val="28"/>
          <w:lang w:eastAsia="en-US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д) меры по минимизации коррупционных рисков в «критических точках».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 xml:space="preserve">3.2. Должностным лицом, ответственным за профилактику коррупционных и иных правонарушений на предприятии, составляются карта коррупционных рисков и план мероприятий по минимизации коррупционных рисков </w:t>
      </w:r>
      <w:r>
        <w:rPr>
          <w:rFonts w:eastAsia="Calibri" w:eastAsiaTheme="minorHAnsi"/>
          <w:bCs/>
          <w:color w:val="000000"/>
          <w:sz w:val="24"/>
          <w:szCs w:val="24"/>
          <w:lang w:eastAsia="en-US"/>
        </w:rPr>
        <w:t>соответственно по формам согласно приложениям № 1 и № 2 к настоящему Положению</w:t>
      </w:r>
      <w:r>
        <w:rPr>
          <w:rFonts w:eastAsia="Calibri" w:eastAsiaTheme="minorHAnsi"/>
          <w:color w:val="000000"/>
          <w:sz w:val="24"/>
          <w:szCs w:val="24"/>
          <w:lang w:eastAsia="en-US"/>
        </w:rPr>
        <w:t>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3.3. По результатам оценки коррупционных рисков, возникающих при осуществлении закупок</w:t>
      </w:r>
      <w:r>
        <w:rPr>
          <w:bCs/>
          <w:sz w:val="24"/>
          <w:szCs w:val="24"/>
        </w:rPr>
        <w:t xml:space="preserve"> товаров, работ, услуг</w:t>
      </w:r>
      <w:r>
        <w:rPr>
          <w:rFonts w:eastAsia="Calibri" w:eastAsiaTheme="minorHAnsi"/>
          <w:color w:val="000000"/>
          <w:sz w:val="24"/>
          <w:szCs w:val="24"/>
          <w:lang w:eastAsia="en-US"/>
        </w:rPr>
        <w:t xml:space="preserve">, должностным лицом, ответственным за профилактику коррупционных и иных правонарушений на предприятии, составляются </w:t>
      </w:r>
      <w:r>
        <w:rPr>
          <w:bCs/>
          <w:sz w:val="24"/>
          <w:szCs w:val="24"/>
        </w:rPr>
        <w:t>карта коррупционных рисков, возникающих при осуществлении закупок товаров, работ, услуг и план мер, направленных на минимизацию коррупционных рисков, возникающих при осуществлении закупок товаров, работ, услуг (далее – план (реестр) мер при осуществлении закупок), соответственно по формам согласно приложениям № 3 и № 4 к настоящему Положению.</w:t>
      </w:r>
    </w:p>
    <w:p>
      <w:pPr>
        <w:pStyle w:val="ConsPlusNormal"/>
        <w:spacing w:lineRule="auto" w:line="360"/>
        <w:ind w:firstLine="709"/>
        <w:jc w:val="both"/>
        <w:rPr/>
      </w:pPr>
      <w:r>
        <w:rPr>
          <w:rFonts w:eastAsia="Calibri" w:cs="Times New Roman" w:ascii="Times New Roman" w:hAnsi="Times New Roman" w:eastAsiaTheme="minorHAnsi"/>
          <w:color w:val="000000"/>
          <w:sz w:val="24"/>
          <w:szCs w:val="24"/>
          <w:lang w:eastAsia="en-US"/>
        </w:rPr>
        <w:t xml:space="preserve">3.4. </w:t>
      </w:r>
      <w:r>
        <w:rPr>
          <w:rFonts w:cs="Times New Roman" w:ascii="Times New Roman" w:hAnsi="Times New Roman"/>
          <w:sz w:val="24"/>
          <w:szCs w:val="24"/>
        </w:rPr>
        <w:t>Должностное лицо Предприятия, ответственное за профилактику коррупционных и иных правонарушений на Предприятии, ежегодно готовит отчет о реализации мер, указанных в плане мероприятий по минимизации коррупционных рисков и плане (реестре) мер при осуществлении закупок, представляет его директору Предприятия для утверждения. На основании отчета в документы, указанные в подпункте 2.3.4 пункта 2.3, пунктах 3.2 и 3.3 настоящего Положения, могут быть внесены изменения.</w:t>
      </w:r>
    </w:p>
    <w:p>
      <w:pPr>
        <w:pStyle w:val="ConsPlusNormal"/>
        <w:ind w:firstLine="7088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851" w:header="709" w:top="1418" w:footer="57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127940752"/>
    </w:sdtPr>
    <w:sdtContent>
      <w:p>
        <w:pPr>
          <w:pStyle w:val="Style29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3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9"/>
      <w:rPr/>
    </w:pPr>
    <w:r>
      <w:rPr/>
    </w:r>
  </w:p>
</w:hdr>
</file>

<file path=word/settings.xml><?xml version="1.0" encoding="utf-8"?>
<w:settings xmlns:w="http://schemas.openxmlformats.org/wordprocessingml/2006/main">
  <w:zoom w:percent="123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248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101b00"/>
    <w:pPr>
      <w:keepNext w:val="true"/>
      <w:spacing w:lineRule="exact" w:line="260"/>
      <w:ind w:right="284" w:hanging="0"/>
      <w:jc w:val="center"/>
      <w:outlineLvl w:val="0"/>
    </w:pPr>
    <w:rPr>
      <w:b/>
      <w:sz w:val="22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сноски Знак"/>
    <w:basedOn w:val="DefaultParagraphFont"/>
    <w:link w:val="a3"/>
    <w:uiPriority w:val="99"/>
    <w:semiHidden/>
    <w:qFormat/>
    <w:rsid w:val="00072c5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4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072c5f"/>
    <w:rPr>
      <w:vertAlign w:val="superscript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9f0287"/>
    <w:rPr>
      <w:rFonts w:ascii="Tahoma" w:hAnsi="Tahoma" w:eastAsia="Times New Roman" w:cs="Tahoma"/>
      <w:sz w:val="16"/>
      <w:szCs w:val="16"/>
      <w:lang w:eastAsia="ru-RU"/>
    </w:rPr>
  </w:style>
  <w:style w:type="character" w:styleId="Style16" w:customStyle="1">
    <w:name w:val="Верхний колонтитул Знак"/>
    <w:basedOn w:val="DefaultParagraphFont"/>
    <w:link w:val="a8"/>
    <w:uiPriority w:val="99"/>
    <w:qFormat/>
    <w:rsid w:val="00c62ab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link w:val="aa"/>
    <w:uiPriority w:val="99"/>
    <w:qFormat/>
    <w:rsid w:val="00c62ab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с отступом Знак"/>
    <w:basedOn w:val="DefaultParagraphFont"/>
    <w:link w:val="ae"/>
    <w:qFormat/>
    <w:rsid w:val="00ca7044"/>
    <w:rPr>
      <w:rFonts w:ascii="Times New Roman" w:hAnsi="Times New Roman" w:eastAsia="Times New Roman" w:cs="Times New Roman"/>
      <w:sz w:val="28"/>
      <w:szCs w:val="20"/>
      <w:lang w:val="en-US" w:eastAsia="ru-RU"/>
    </w:rPr>
  </w:style>
  <w:style w:type="character" w:styleId="11" w:customStyle="1">
    <w:name w:val="Основной шрифт абзаца1"/>
    <w:qFormat/>
    <w:rsid w:val="00ae04ac"/>
    <w:rPr/>
  </w:style>
  <w:style w:type="character" w:styleId="12" w:customStyle="1">
    <w:name w:val="Заголовок 1 Знак"/>
    <w:basedOn w:val="DefaultParagraphFont"/>
    <w:link w:val="1"/>
    <w:qFormat/>
    <w:rsid w:val="00101b00"/>
    <w:rPr>
      <w:rFonts w:ascii="Times New Roman" w:hAnsi="Times New Roman" w:eastAsia="Times New Roman" w:cs="Times New Roman"/>
      <w:b/>
      <w:szCs w:val="20"/>
      <w:lang w:eastAsia="ru-RU"/>
    </w:rPr>
  </w:style>
  <w:style w:type="character" w:styleId="Style19" w:customStyle="1">
    <w:name w:val="Текст концевой сноски Знак"/>
    <w:basedOn w:val="DefaultParagraphFont"/>
    <w:link w:val="af2"/>
    <w:semiHidden/>
    <w:qFormat/>
    <w:rsid w:val="000573a3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20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semiHidden/>
    <w:unhideWhenUsed/>
    <w:qFormat/>
    <w:rsid w:val="000573a3"/>
    <w:rPr>
      <w:vertAlign w:val="superscript"/>
    </w:rPr>
  </w:style>
  <w:style w:type="character" w:styleId="Style21">
    <w:name w:val="Интернет-ссылка"/>
    <w:basedOn w:val="DefaultParagraphFont"/>
    <w:uiPriority w:val="99"/>
    <w:semiHidden/>
    <w:unhideWhenUsed/>
    <w:rsid w:val="007938a8"/>
    <w:rPr>
      <w:color w:val="0000FF"/>
      <w:u w:val="single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pPr>
      <w:spacing w:lineRule="auto" w:line="276" w:before="0" w:after="14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Style27">
    <w:name w:val="Footnote Text"/>
    <w:basedOn w:val="Normal"/>
    <w:link w:val="a4"/>
    <w:uiPriority w:val="99"/>
    <w:semiHidden/>
    <w:unhideWhenUsed/>
    <w:rsid w:val="00072c5f"/>
    <w:pPr/>
    <w:rPr>
      <w:sz w:val="20"/>
      <w:szCs w:val="20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9f0287"/>
    <w:pPr/>
    <w:rPr>
      <w:rFonts w:ascii="Tahoma" w:hAnsi="Tahoma" w:cs="Tahoma"/>
      <w:sz w:val="16"/>
      <w:szCs w:val="16"/>
    </w:rPr>
  </w:style>
  <w:style w:type="paragraph" w:styleId="Style28">
    <w:name w:val="Верхний и нижний колонтитулы"/>
    <w:basedOn w:val="Normal"/>
    <w:qFormat/>
    <w:pPr/>
    <w:rPr/>
  </w:style>
  <w:style w:type="paragraph" w:styleId="Style29">
    <w:name w:val="Header"/>
    <w:basedOn w:val="Normal"/>
    <w:link w:val="a9"/>
    <w:uiPriority w:val="99"/>
    <w:unhideWhenUsed/>
    <w:rsid w:val="00c62ab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Footer"/>
    <w:basedOn w:val="Normal"/>
    <w:link w:val="ab"/>
    <w:uiPriority w:val="99"/>
    <w:unhideWhenUsed/>
    <w:rsid w:val="00c62ab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Spacing">
    <w:name w:val="No Spacing"/>
    <w:uiPriority w:val="99"/>
    <w:qFormat/>
    <w:rsid w:val="00f82c1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31" w:customStyle="1">
    <w:name w:val="Знак Знак Знак Знак Знак Знак Знак"/>
    <w:basedOn w:val="Normal"/>
    <w:qFormat/>
    <w:rsid w:val="006a11fd"/>
    <w:pPr>
      <w:widowControl w:val="false"/>
      <w:spacing w:lineRule="exact" w:line="240" w:before="0" w:after="160"/>
      <w:jc w:val="right"/>
    </w:pPr>
    <w:rPr>
      <w:sz w:val="20"/>
      <w:szCs w:val="20"/>
      <w:lang w:val="en-GB" w:eastAsia="en-US"/>
    </w:rPr>
  </w:style>
  <w:style w:type="paragraph" w:styleId="Style32">
    <w:name w:val="Body Text Indent"/>
    <w:basedOn w:val="Normal"/>
    <w:link w:val="af"/>
    <w:rsid w:val="00ca7044"/>
    <w:pPr>
      <w:ind w:firstLine="720"/>
    </w:pPr>
    <w:rPr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65dc5"/>
    <w:pPr>
      <w:spacing w:before="0" w:after="0"/>
      <w:ind w:left="720" w:hanging="0"/>
      <w:contextualSpacing/>
    </w:pPr>
    <w:rPr/>
  </w:style>
  <w:style w:type="paragraph" w:styleId="ConsPlusNormal" w:customStyle="1">
    <w:name w:val="ConsPlusNormal"/>
    <w:qFormat/>
    <w:rsid w:val="00b65dc5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0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rsid w:val="00c53e89"/>
    <w:pPr>
      <w:spacing w:beforeAutospacing="1" w:afterAutospacing="1"/>
    </w:pPr>
    <w:rPr/>
  </w:style>
  <w:style w:type="paragraph" w:styleId="Standard" w:customStyle="1">
    <w:name w:val="Standard"/>
    <w:qFormat/>
    <w:rsid w:val="00b36a9d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Style33">
    <w:name w:val="Endnote Text"/>
    <w:basedOn w:val="Normal"/>
    <w:link w:val="af3"/>
    <w:semiHidden/>
    <w:unhideWhenUsed/>
    <w:rsid w:val="000573a3"/>
    <w:pPr/>
    <w:rPr>
      <w:sz w:val="20"/>
      <w:szCs w:val="20"/>
    </w:rPr>
  </w:style>
  <w:style w:type="paragraph" w:styleId="ConsPlusNonformat" w:customStyle="1">
    <w:name w:val="ConsPlusNonformat"/>
    <w:qFormat/>
    <w:rsid w:val="00a078d1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59"/>
    <w:rsid w:val="002948f1"/>
    <w:pPr>
      <w:spacing w:after="0" w:line="240" w:lineRule="auto"/>
    </w:pPr>
    <w:rPr>
      <w:sz w:val="28"/>
      <w:szCs w:val="28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Сетка таблицы9"/>
    <w:basedOn w:val="a1"/>
    <w:uiPriority w:val="99"/>
    <w:rsid w:val="00f10013"/>
    <w:pPr>
      <w:spacing w:after="0" w:line="240" w:lineRule="auto"/>
      <w:jc w:val="center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F79ADC-EA09-4C5E-B83A-FD3A1A958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1573</TotalTime>
  <Application>LibreOffice/6.3.0.4$Windows_x86 LibreOffice_project/057fc023c990d676a43019934386b85b21a9ee99</Application>
  <Pages>3</Pages>
  <Words>669</Words>
  <Characters>5117</Characters>
  <CharactersWithSpaces>5753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2022-07-13T15:14:00Z</dcterms:created>
  <dc:creator>Евгения И. Малыгина</dc:creator>
  <dc:description/>
  <dc:language>ru-RU</dc:language>
  <cp:lastModifiedBy/>
  <cp:lastPrinted>2024-05-15T15:48:07Z</cp:lastPrinted>
  <dcterms:modified xsi:type="dcterms:W3CDTF">2024-06-03T11:04:22Z</dcterms:modified>
  <cp:revision>442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