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76" w:rsidRPr="00813176" w:rsidRDefault="00813176" w:rsidP="0081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1. Внимательно прочитайте задание, выделив для себя, какое именно средство выразительности необходимо найти.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2. Для выполнения задания 3 достаточно знать следующие термины: метафора, олицетворение, эпитет, гипербола, сравнительный оборот, сравнение, фразеологизм, литота.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3. Не путайте метафору, сравнение и сравнительный оборот: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</w:p>
    <w:p w:rsidR="00813176" w:rsidRPr="00813176" w:rsidRDefault="00813176" w:rsidP="00813176">
      <w:pPr>
        <w:shd w:val="clear" w:color="auto" w:fill="FCF6D2"/>
        <w:spacing w:after="0" w:line="240" w:lineRule="auto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813176">
        <w:rPr>
          <w:rFonts w:ascii="inherit" w:eastAsia="Times New Roman" w:hAnsi="inherit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lang w:eastAsia="ru-RU"/>
        </w:rPr>
        <w:t>Метафора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> – </w:t>
      </w:r>
      <w:r w:rsidRPr="00813176">
        <w:rPr>
          <w:rFonts w:ascii="inherit" w:eastAsia="Times New Roman" w:hAnsi="inherit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lang w:eastAsia="ru-RU"/>
        </w:rPr>
        <w:t>скрытое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> сравнение, потому не содержит ни союзов, ни лексических средств выражения сравнения.</w:t>
      </w:r>
    </w:p>
    <w:p w:rsidR="00813176" w:rsidRPr="00813176" w:rsidRDefault="00813176" w:rsidP="00813176">
      <w:pPr>
        <w:shd w:val="clear" w:color="auto" w:fill="FCF6D2"/>
        <w:spacing w:after="0" w:line="240" w:lineRule="auto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813176">
        <w:rPr>
          <w:rFonts w:ascii="inherit" w:eastAsia="Times New Roman" w:hAnsi="inherit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lang w:eastAsia="ru-RU"/>
        </w:rPr>
        <w:t>Сравнение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> может быть выражено несколькими способами (не только при помощи союзов) Об этом читайте ниже.</w:t>
      </w:r>
    </w:p>
    <w:p w:rsidR="00813176" w:rsidRPr="00813176" w:rsidRDefault="00813176" w:rsidP="00813176">
      <w:pPr>
        <w:shd w:val="clear" w:color="auto" w:fill="FCF6D2"/>
        <w:spacing w:line="240" w:lineRule="auto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813176">
        <w:rPr>
          <w:rFonts w:ascii="inherit" w:eastAsia="Times New Roman" w:hAnsi="inherit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lang w:eastAsia="ru-RU"/>
        </w:rPr>
        <w:t>Сравнительный оборот 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>– разновидность сравнения, в котором словами-подсказками будут союзы КАК, СЛОВНО, БУДТО, КАК БУДТО, ЧЕМ и др.</w:t>
      </w:r>
    </w:p>
    <w:p w:rsidR="00813176" w:rsidRPr="00813176" w:rsidRDefault="00813176" w:rsidP="0081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4. Особую сложность представляет нахождение фразеологизмов. Чтобы найти фразеологизм, важно 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знать: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А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 фразеологизм  часто можно заменить одним словом.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Вешать лапшу на уши = обманывать.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Б) фразеологизм  - это словосочетание. Если его разделить на отдельные слова, то его значение теряется.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Например, фразеологизм "бить баклуши" = лениться, но по отдельности слово «бить» - значит нанести удар , а «</w:t>
      </w:r>
      <w:proofErr w:type="spellStart"/>
      <w:r w:rsidRPr="00813176">
        <w:rPr>
          <w:rFonts w:ascii="GothaPro" w:eastAsia="Times New Roman" w:hAnsi="GothaPro" w:cs="Times New Roman"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баклуша</w:t>
      </w:r>
      <w:proofErr w:type="spellEnd"/>
      <w:r w:rsidRPr="00813176">
        <w:rPr>
          <w:rFonts w:ascii="GothaPro" w:eastAsia="Times New Roman" w:hAnsi="GothaPro" w:cs="Times New Roman"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» = обрубок древесины.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В) некоторые фразеологизмы настолько часто употребляются в речи, что мы перестали обращать на них внимание, потому такие выражения как «играть роль», «иметь в виду», «от всего сердца», «не покладая рук», «от мала до велика», «плыть по течению» «сгорать от нетерпения» мы не воспринимаем как фразеологизмы, однако их тоже нужно научиться замечать в тексте.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Г) к фразеологизмам не относятся предложно-падежные сочетания вроде «под мышкой», «с кондачка»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5. Отличайте эпитет от обычного прилагательного, причастия.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Стальной утюг: «стальной» – обычное определение, которое обозначает материал, из которого изготовлен утюг. «Стальной» взгляд: «стальной» – (эпитет) яркое, образное определение, которое употребляется в переносном смысле.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6. В зависимости от искомого средства выразительности можно подобрать стратегию анализа предложений.</w:t>
      </w:r>
    </w:p>
    <w:p w:rsidR="00813176" w:rsidRPr="00813176" w:rsidRDefault="00813176" w:rsidP="008131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lastRenderedPageBreak/>
        <w:t>Например, вам необходимо найти эпитет. Вы знаете, что эпитет – это образное определение. Само толкование термина подсказывает, что проверить необходимо каждое определение в предложении.</w:t>
      </w:r>
    </w:p>
    <w:p w:rsidR="00813176" w:rsidRPr="00813176" w:rsidRDefault="00813176" w:rsidP="008131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>Если нужно найти метафору или фразеологизм, то анализируйте словосочетания в предложении.</w:t>
      </w:r>
    </w:p>
    <w:p w:rsidR="00813176" w:rsidRPr="00813176" w:rsidRDefault="00813176" w:rsidP="008131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</w:pP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t>Если ищете сравнение или сравнительный оборот, смотрите на внешние признаки: союзы, ищите слова «похож, подобен» или существительное в форме Т.п. и др.</w:t>
      </w:r>
    </w:p>
    <w:p w:rsidR="00813176" w:rsidRPr="00813176" w:rsidRDefault="00813176" w:rsidP="00813176">
      <w:pPr>
        <w:shd w:val="clear" w:color="auto" w:fill="FFFFFF"/>
        <w:spacing w:after="0" w:line="324" w:lineRule="atLeast"/>
        <w:textAlignment w:val="baseline"/>
        <w:outlineLvl w:val="1"/>
        <w:rPr>
          <w:rFonts w:ascii="GothaPro" w:eastAsia="Times New Roman" w:hAnsi="GothaPro" w:cs="Times New Roman"/>
          <w:b/>
          <w:bCs/>
          <w:color w:val="1A1A1A"/>
          <w:spacing w:val="-2"/>
          <w:sz w:val="29"/>
          <w:szCs w:val="29"/>
          <w:lang w:eastAsia="ru-RU"/>
        </w:rPr>
      </w:pPr>
      <w:hyperlink r:id="rId5" w:anchor="hmenu-item-2" w:tooltip="К меню" w:history="1">
        <w:r w:rsidRPr="00813176">
          <w:rPr>
            <w:rFonts w:ascii="GothaPro" w:eastAsia="Times New Roman" w:hAnsi="GothaPro" w:cs="Times New Roman"/>
            <w:b/>
            <w:bCs/>
            <w:color w:val="0089FF"/>
            <w:spacing w:val="-2"/>
            <w:sz w:val="29"/>
            <w:szCs w:val="29"/>
            <w:u w:val="single"/>
            <w:bdr w:val="none" w:sz="0" w:space="0" w:color="auto" w:frame="1"/>
            <w:lang w:eastAsia="ru-RU"/>
          </w:rPr>
          <w:t>↑</w:t>
        </w:r>
      </w:hyperlink>
      <w:r w:rsidRPr="00813176">
        <w:rPr>
          <w:rFonts w:ascii="GothaPro" w:eastAsia="Times New Roman" w:hAnsi="GothaPro" w:cs="Times New Roman"/>
          <w:b/>
          <w:bCs/>
          <w:color w:val="1A1A1A"/>
          <w:spacing w:val="-2"/>
          <w:sz w:val="29"/>
          <w:szCs w:val="29"/>
          <w:lang w:eastAsia="ru-RU"/>
        </w:rPr>
        <w:t> Средства выразительности: теория</w:t>
      </w:r>
    </w:p>
    <w:p w:rsidR="00813176" w:rsidRPr="00813176" w:rsidRDefault="00813176" w:rsidP="0081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176" w:rsidRPr="00813176" w:rsidRDefault="00813176" w:rsidP="00813176">
      <w:pPr>
        <w:spacing w:line="240" w:lineRule="auto"/>
        <w:textAlignment w:val="baseline"/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</w:pPr>
      <w:r w:rsidRPr="00813176">
        <w:rPr>
          <w:rFonts w:ascii="inherit" w:eastAsia="Times New Roman" w:hAnsi="inherit" w:cs="Times New Roman"/>
          <w:b/>
          <w:bCs/>
          <w:color w:val="B8312F"/>
          <w:spacing w:val="3"/>
          <w:sz w:val="26"/>
          <w:szCs w:val="26"/>
          <w:bdr w:val="none" w:sz="0" w:space="0" w:color="auto" w:frame="1"/>
          <w:lang w:eastAsia="ru-RU"/>
        </w:rPr>
        <w:t>МЕТАФОРА</w:t>
      </w:r>
      <w:r w:rsidRPr="00813176">
        <w:rPr>
          <w:rFonts w:ascii="inherit" w:eastAsia="Times New Roman" w:hAnsi="inherit" w:cs="Times New Roman"/>
          <w:b/>
          <w:bCs/>
          <w:color w:val="3C763D"/>
          <w:spacing w:val="3"/>
          <w:sz w:val="26"/>
          <w:szCs w:val="26"/>
          <w:bdr w:val="none" w:sz="0" w:space="0" w:color="auto" w:frame="1"/>
          <w:lang w:eastAsia="ru-RU"/>
        </w:rPr>
        <w:t> </w:t>
      </w:r>
      <w:r w:rsidRPr="00813176"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  <w:t>- скрытое сравнение, основанное на переносе признаков одного явления на другое по принципу сходства. «...Да и не умели еще </w:t>
      </w:r>
      <w:r w:rsidRPr="00813176">
        <w:rPr>
          <w:rFonts w:ascii="inherit" w:eastAsia="Times New Roman" w:hAnsi="inherit" w:cs="Times New Roman"/>
          <w:b/>
          <w:bCs/>
          <w:i/>
          <w:iCs/>
          <w:color w:val="3C763D"/>
          <w:spacing w:val="3"/>
          <w:sz w:val="26"/>
          <w:szCs w:val="26"/>
          <w:bdr w:val="none" w:sz="0" w:space="0" w:color="auto" w:frame="1"/>
          <w:lang w:eastAsia="ru-RU"/>
        </w:rPr>
        <w:t>чужим умом набивать пустую голову</w:t>
      </w:r>
      <w:r w:rsidRPr="00813176"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  <w:t xml:space="preserve">» (Стародум в комедии «Недоросль», д. 3, </w:t>
      </w:r>
      <w:proofErr w:type="spellStart"/>
      <w:proofErr w:type="gramStart"/>
      <w:r w:rsidRPr="00813176"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  <w:t>Форнивизин</w:t>
      </w:r>
      <w:proofErr w:type="spellEnd"/>
      <w:r w:rsidRPr="00813176"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  <w:t> )</w:t>
      </w:r>
      <w:proofErr w:type="gramEnd"/>
      <w:r w:rsidRPr="00813176"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  <w:t>.</w:t>
      </w:r>
    </w:p>
    <w:p w:rsidR="00813176" w:rsidRPr="00813176" w:rsidRDefault="00813176" w:rsidP="0081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«Куда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ланит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девались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розы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 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Улыбка уст и блеск очей?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Все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опалили, выжгли слезы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Горячей влагою своей»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(«О, как убийственно мы любим...», Тютчев).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«...За Кремлем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горит заря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туманная...» («Песня про... купца Калашникова», Лермонтов).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«...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Душа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моя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высохла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» (Любовь Андреевна в комедии «Вишневый </w:t>
      </w:r>
      <w:proofErr w:type="spell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сад»,д</w:t>
      </w:r>
      <w:proofErr w:type="spell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 2, Чехов. 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Ведь, если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звезды зажигают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— значит это кому-нибудь нужно?.. Значит — кто-то называет эти </w:t>
      </w:r>
      <w:proofErr w:type="spell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плевочки</w:t>
      </w:r>
      <w:proofErr w:type="spell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 жемчужиной?» («Послушайте!»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</w:t>
      </w:r>
      <w:proofErr w:type="gramEnd"/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Ветром успокоения 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потянуло на меня от этих названий» («Матренин двор», Солженицын).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«..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Дыша духами и туманами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 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Она садится у окна.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И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веют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древними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поверьями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Ее упругие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 шелка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...» («Незнакомка», Блок).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</w:p>
    <w:p w:rsidR="00813176" w:rsidRPr="00813176" w:rsidRDefault="00813176" w:rsidP="00813176">
      <w:pPr>
        <w:spacing w:line="240" w:lineRule="auto"/>
        <w:textAlignment w:val="baseline"/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</w:pPr>
      <w:r w:rsidRPr="00813176">
        <w:rPr>
          <w:rFonts w:ascii="inherit" w:eastAsia="Times New Roman" w:hAnsi="inherit" w:cs="Times New Roman"/>
          <w:b/>
          <w:bCs/>
          <w:color w:val="B8312F"/>
          <w:spacing w:val="3"/>
          <w:sz w:val="26"/>
          <w:szCs w:val="26"/>
          <w:bdr w:val="none" w:sz="0" w:space="0" w:color="auto" w:frame="1"/>
          <w:lang w:eastAsia="ru-RU"/>
        </w:rPr>
        <w:t>РАЗВЕРНУТАЯ МЕТАФОРА</w:t>
      </w:r>
      <w:r w:rsidRPr="00813176"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  <w:t> - ряд взаимосвязанных метафор, в котором предыдущая метафора вызывает следующую.</w:t>
      </w:r>
    </w:p>
    <w:p w:rsidR="00813176" w:rsidRPr="00813176" w:rsidRDefault="00813176" w:rsidP="0081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Фет. «Одним толчком согнать ладью живую 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 наглаженных отливами песков, Одной волной подняться в жизнь иную. Учуять </w:t>
      </w:r>
      <w:proofErr w:type="spell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ветр</w:t>
      </w:r>
      <w:proofErr w:type="spell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 с цветущих берегов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...»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Гончаров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. «...Он тихо и постепенно укладывался в простой и широкий гроб остального своего существования, сделанный собственными руками, как старцы пустынные, которые, </w:t>
      </w:r>
      <w:proofErr w:type="spell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отворотясь</w:t>
      </w:r>
      <w:proofErr w:type="spell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 от жизни, копают себе могилу» («</w:t>
      </w:r>
      <w:hyperlink r:id="rId6" w:history="1">
        <w:r w:rsidRPr="00813176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Обломов</w:t>
        </w:r>
      </w:hyperlink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», ч. 4, глава 9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lastRenderedPageBreak/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Чехов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 «Люблю, люблю... Это камень на моей шее, я иду с ним на дно, но я люблю этот камень и жить без него не могу» (Любовь Андреевна в комедии «Вишневый сад», д. 3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Вы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 скажете, что нравственность от этого не выигрывает? Извините. Довольно людей кормили сластями; у них от этого испортился желудок: нужны горькие лекарства, едкие истины... Будет и того, что болезнь указана, а как ее излечить — это уж Бог знает!» («Герой нашего времени», предисловие).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</w:p>
    <w:p w:rsidR="00813176" w:rsidRPr="00813176" w:rsidRDefault="00813176" w:rsidP="00813176">
      <w:pPr>
        <w:spacing w:line="240" w:lineRule="auto"/>
        <w:textAlignment w:val="baseline"/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</w:pPr>
      <w:r w:rsidRPr="00813176"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  <w:br/>
      </w:r>
      <w:r w:rsidRPr="00813176">
        <w:rPr>
          <w:rFonts w:ascii="inherit" w:eastAsia="Times New Roman" w:hAnsi="inherit" w:cs="Times New Roman"/>
          <w:b/>
          <w:bCs/>
          <w:color w:val="B8312F"/>
          <w:spacing w:val="3"/>
          <w:sz w:val="26"/>
          <w:szCs w:val="26"/>
          <w:bdr w:val="none" w:sz="0" w:space="0" w:color="auto" w:frame="1"/>
          <w:lang w:eastAsia="ru-RU"/>
        </w:rPr>
        <w:t>«СУХАЯ» МЕТАФОРА</w:t>
      </w:r>
      <w:r w:rsidRPr="00813176"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  <w:t> – оборот, который изначально был метафорой, но утратил свою образность.</w:t>
      </w:r>
    </w:p>
    <w:p w:rsidR="00813176" w:rsidRPr="00813176" w:rsidRDefault="00813176" w:rsidP="0081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6">
        <w:rPr>
          <w:rFonts w:ascii="GothaPro" w:eastAsia="Times New Roman" w:hAnsi="GothaPro" w:cs="Times New Roman"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Примеры: ножки стола, нос корабля, хвостик петрушки, часы идут, мысли разбегаются, спор разгорелся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</w:p>
    <w:p w:rsidR="00813176" w:rsidRPr="00813176" w:rsidRDefault="00813176" w:rsidP="0081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176" w:rsidRPr="00813176" w:rsidRDefault="00813176" w:rsidP="00813176">
      <w:pPr>
        <w:spacing w:line="240" w:lineRule="auto"/>
        <w:textAlignment w:val="baseline"/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</w:pPr>
      <w:r w:rsidRPr="00813176">
        <w:rPr>
          <w:rFonts w:ascii="inherit" w:eastAsia="Times New Roman" w:hAnsi="inherit" w:cs="Times New Roman"/>
          <w:b/>
          <w:bCs/>
          <w:color w:val="B8312F"/>
          <w:spacing w:val="3"/>
          <w:sz w:val="26"/>
          <w:szCs w:val="26"/>
          <w:bdr w:val="none" w:sz="0" w:space="0" w:color="auto" w:frame="1"/>
          <w:lang w:eastAsia="ru-RU"/>
        </w:rPr>
        <w:t>ОЛИЦЕТВОРЕНИЕ</w:t>
      </w:r>
      <w:r w:rsidRPr="00813176"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  <w:t> — перенос свойств живых существ на неодушевленные предметы и явления.</w:t>
      </w:r>
    </w:p>
    <w:p w:rsidR="00813176" w:rsidRPr="00813176" w:rsidRDefault="00813176" w:rsidP="0081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Задекламирует чердак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С поклоном рамам и 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зиме,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К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 карнизам прянет чехарда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Чудачеств, бедствий и замет»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Б. Пастернак «Про эти стихи»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«Из рая детского житья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Вы мне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привет прощальный шлете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,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proofErr w:type="spell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Неизменившие</w:t>
      </w:r>
      <w:proofErr w:type="spell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друзья 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 потертом</w:t>
      </w:r>
      <w:r w:rsidRPr="00813176">
        <w:rPr>
          <w:rFonts w:ascii="GothaPro" w:eastAsia="Times New Roman" w:hAnsi="GothaPro" w:cs="Times New Roman"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,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красном переплете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М. Цветаева «Книги в красном переплете»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«Несчастью </w:t>
      </w:r>
      <w:r w:rsidRPr="00813176">
        <w:rPr>
          <w:rFonts w:ascii="GothaPro" w:eastAsia="Times New Roman" w:hAnsi="GothaPro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верная сестра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,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Надежда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в мрачном подземелье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b/>
          <w:b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Разбудит бодрость 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и веселье...»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А. Пушкин «Во глубине сибирских руд...»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</w:p>
    <w:p w:rsidR="00813176" w:rsidRPr="00813176" w:rsidRDefault="00813176" w:rsidP="00813176">
      <w:pPr>
        <w:spacing w:line="240" w:lineRule="auto"/>
        <w:textAlignment w:val="baseline"/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</w:pPr>
      <w:r w:rsidRPr="00813176">
        <w:rPr>
          <w:rFonts w:ascii="inherit" w:eastAsia="Times New Roman" w:hAnsi="inherit" w:cs="Times New Roman"/>
          <w:b/>
          <w:bCs/>
          <w:color w:val="B8312F"/>
          <w:spacing w:val="3"/>
          <w:sz w:val="26"/>
          <w:szCs w:val="26"/>
          <w:bdr w:val="none" w:sz="0" w:space="0" w:color="auto" w:frame="1"/>
          <w:lang w:eastAsia="ru-RU"/>
        </w:rPr>
        <w:t>ЭПИТЕТ</w:t>
      </w:r>
      <w:r w:rsidRPr="00813176">
        <w:rPr>
          <w:rFonts w:ascii="inherit" w:eastAsia="Times New Roman" w:hAnsi="inherit" w:cs="Times New Roman"/>
          <w:b/>
          <w:bCs/>
          <w:color w:val="3C763D"/>
          <w:spacing w:val="3"/>
          <w:sz w:val="26"/>
          <w:szCs w:val="26"/>
          <w:bdr w:val="none" w:sz="0" w:space="0" w:color="auto" w:frame="1"/>
          <w:lang w:eastAsia="ru-RU"/>
        </w:rPr>
        <w:t> </w:t>
      </w:r>
      <w:r w:rsidRPr="00813176"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  <w:t>– яркое, образное определение, которое несет особую эмоциональную и смысловую нагрузку. Чаще всего эпитет бывает выражен прилагательным.</w:t>
      </w:r>
    </w:p>
    <w:p w:rsidR="00813176" w:rsidRPr="00813176" w:rsidRDefault="00813176" w:rsidP="0081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Тютчев. «...И льется чистая лазурь На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отдыхающее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поле...» («Есть в осени первоначальной...»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Есенин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 Волки грозные с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тощих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полей» («Русь»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Взгляд его — непродолжительный, но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проницательный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и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тяжелый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, оставлял по себе неприятное впечатление нескромного вопроса и мог бы казаться дерзким, если бы не был столь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равнодушно спокоен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» (психологический 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lastRenderedPageBreak/>
        <w:t xml:space="preserve">портрет Печорина в романе «Герой нашего времени», глава «Максим </w:t>
      </w:r>
      <w:proofErr w:type="spell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Максимыч</w:t>
      </w:r>
      <w:proofErr w:type="spell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«...И первый бешеный скачок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Мне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страшной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смертию</w:t>
      </w:r>
      <w:proofErr w:type="spell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 грозил.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М. Лермонтов «</w:t>
      </w:r>
      <w:hyperlink r:id="rId7" w:history="1">
        <w:r w:rsidRPr="00813176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Мцыри</w:t>
        </w:r>
      </w:hyperlink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Лермонтов. «И снился мне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сияющий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огнями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вечерний пир в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родимой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стороне.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И долго еще определено мне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чудной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властью идти рука об руку с моими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странными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героями, озирать всю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громадно-несущуюся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жизнь, озирать ее сквозь видимый миру смех и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незримые, неведомые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ему слезы!» («Мертвые души», глава 7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По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низменному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берегу, На Волге, травы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рослые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,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Веселая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косьба» («Кому на Руси жить хорошо», ч. 2, «Последыш», глава 1).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</w:p>
    <w:p w:rsidR="00813176" w:rsidRPr="00813176" w:rsidRDefault="00813176" w:rsidP="0081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176" w:rsidRPr="00813176" w:rsidRDefault="00813176" w:rsidP="00813176">
      <w:pPr>
        <w:spacing w:line="240" w:lineRule="auto"/>
        <w:textAlignment w:val="baseline"/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</w:pPr>
      <w:r w:rsidRPr="00813176">
        <w:rPr>
          <w:rFonts w:ascii="inherit" w:eastAsia="Times New Roman" w:hAnsi="inherit" w:cs="Times New Roman"/>
          <w:b/>
          <w:bCs/>
          <w:color w:val="B8312F"/>
          <w:spacing w:val="3"/>
          <w:sz w:val="26"/>
          <w:szCs w:val="26"/>
          <w:bdr w:val="none" w:sz="0" w:space="0" w:color="auto" w:frame="1"/>
          <w:lang w:eastAsia="ru-RU"/>
        </w:rPr>
        <w:t>ГИПЕРБОЛА</w:t>
      </w:r>
      <w:r w:rsidRPr="00813176"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  <w:t> – чрезмерное преувеличение.</w:t>
      </w:r>
    </w:p>
    <w:p w:rsidR="00813176" w:rsidRPr="00813176" w:rsidRDefault="00813176" w:rsidP="0081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Он, видно, так и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родился на свет уже совершенно готовым, в вицмундире и с лысиной на голове»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(«Шинель»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Индейкам и курам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 было числа....»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(«Мертвые души», глава 3). 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Некрасов. «Пусть увеличит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 сто крат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мои вины людская злоба...» («О Муза! я у двери гроба...»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Островский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 «Я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 ума сойду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от радости...» (Борис в драме «Гроза», д. 3, сцена 2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Гончаров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 «...Барину видна была только одна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необъятная бакенбарда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, из которой так и ждешь, что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вылетят две-три птицы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 («</w:t>
      </w:r>
      <w:hyperlink r:id="rId8" w:history="1">
        <w:r w:rsidRPr="00813176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Обломов</w:t>
        </w:r>
      </w:hyperlink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», ч. 1, глава 2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Есенин. «Потому, что я с севера, что ли, Что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луна там огромней в сто раз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...» («Шаганэ ты моя, Шаганэ!..»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Это труднее, чем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взять тысячу тысяч Бастилий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 («Облако в штанах»).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Грибоедов. «А в те поры все важны!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 сорок пуд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...» (Фамусов в комедии «Горе от ума», д. 2). Пуд — старая русская мера веса, равная 16,38 кг. Фамусов употребляет гиперболу: конечно, вельможи, даже и в Екатерининскую эпоху, не могли весить 650 кг.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</w:p>
    <w:p w:rsidR="00813176" w:rsidRPr="00813176" w:rsidRDefault="00813176" w:rsidP="0081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176" w:rsidRPr="00813176" w:rsidRDefault="00813176" w:rsidP="00813176">
      <w:pPr>
        <w:spacing w:line="240" w:lineRule="auto"/>
        <w:textAlignment w:val="baseline"/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</w:pPr>
      <w:r w:rsidRPr="00813176">
        <w:rPr>
          <w:rFonts w:ascii="inherit" w:eastAsia="Times New Roman" w:hAnsi="inherit" w:cs="Times New Roman"/>
          <w:b/>
          <w:bCs/>
          <w:color w:val="B8312F"/>
          <w:spacing w:val="3"/>
          <w:sz w:val="26"/>
          <w:szCs w:val="26"/>
          <w:bdr w:val="none" w:sz="0" w:space="0" w:color="auto" w:frame="1"/>
          <w:lang w:eastAsia="ru-RU"/>
        </w:rPr>
        <w:t>ЛИТОТА</w:t>
      </w:r>
      <w:r w:rsidRPr="00813176"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  <w:t> – чрезмерное преуменьшение.</w:t>
      </w:r>
    </w:p>
    <w:p w:rsidR="00813176" w:rsidRPr="00813176" w:rsidRDefault="00813176" w:rsidP="0081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Генералы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даже слов никаких не знали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, кроме: «Примите уверение в совершенном моем почтении и преданности» («Повесть о том, как один мужик 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lastRenderedPageBreak/>
        <w:t>двух генералов прокормил»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),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</w:t>
      </w:r>
      <w:proofErr w:type="gramEnd"/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Сократил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он их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так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, что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некуда носа высунуть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...» («Дикий помещик»),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Лев Толстой. «Он оглянулся на пруд, с которого неслись крики и хохот... Все это голое, белое человеческое мясо с хохотом и гиком барахталось в этой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грязной луже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, как караси, набитые в лейку» (о князе Андрее </w:t>
      </w:r>
      <w:hyperlink r:id="rId9" w:history="1">
        <w:r w:rsidRPr="00813176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Болконском</w:t>
        </w:r>
      </w:hyperlink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в романе-эпопее «Война и мир», т. 3. ч. 2, глава 5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...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Ни звука русского, ни русского лица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Не встретил...» (</w:t>
      </w:r>
      <w:hyperlink r:id="rId10" w:history="1">
        <w:r w:rsidRPr="00813176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Чацкий</w:t>
        </w:r>
      </w:hyperlink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о французике из Бордо, д. 3).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</w:p>
    <w:p w:rsidR="00813176" w:rsidRPr="00813176" w:rsidRDefault="00813176" w:rsidP="0081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176" w:rsidRPr="00813176" w:rsidRDefault="00813176" w:rsidP="00813176">
      <w:pPr>
        <w:spacing w:line="240" w:lineRule="auto"/>
        <w:textAlignment w:val="baseline"/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</w:pPr>
      <w:r w:rsidRPr="00813176">
        <w:rPr>
          <w:rFonts w:ascii="inherit" w:eastAsia="Times New Roman" w:hAnsi="inherit" w:cs="Times New Roman"/>
          <w:b/>
          <w:bCs/>
          <w:color w:val="B8312F"/>
          <w:spacing w:val="3"/>
          <w:sz w:val="26"/>
          <w:szCs w:val="26"/>
          <w:bdr w:val="none" w:sz="0" w:space="0" w:color="auto" w:frame="1"/>
          <w:lang w:eastAsia="ru-RU"/>
        </w:rPr>
        <w:t>СРАВНЕНИЕ</w:t>
      </w:r>
      <w:r w:rsidRPr="00813176"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  <w:t> – сопоставление нескольких предметов или явлений по принципу сходства. </w:t>
      </w:r>
    </w:p>
    <w:p w:rsidR="00813176" w:rsidRPr="00813176" w:rsidRDefault="00813176" w:rsidP="0081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Сравнение может быть выражено: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b/>
          <w:bCs/>
          <w:color w:val="B8312F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1) Сравнительным оборотом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 – сравнение, выраженное при помощи союзов как, точно, словно, будто, как будто и т. 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д.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...Я сам,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как зверь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, был чужд людей И полз, и прятался, </w:t>
      </w:r>
      <w:r w:rsidRPr="00813176">
        <w:rPr>
          <w:rFonts w:ascii="GothaPro" w:eastAsia="Times New Roman" w:hAnsi="GothaPro" w:cs="Times New Roman"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как змей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 («</w:t>
      </w:r>
      <w:hyperlink r:id="rId11" w:history="1">
        <w:r w:rsidRPr="00813176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Мцыри</w:t>
        </w:r>
      </w:hyperlink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Булгаков. «Белогрудый твердыми,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как поручни автобуса,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и столь же холодными пальцами, ничего более не говоря, сжат Аннушкино горло так, что совершенно прекратил всякий доступ воздуха в ее грудь» («</w:t>
      </w:r>
      <w:hyperlink r:id="rId12" w:history="1">
        <w:r w:rsidRPr="00813176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Мастер</w:t>
        </w:r>
      </w:hyperlink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и </w:t>
      </w:r>
      <w:hyperlink r:id="rId13" w:history="1">
        <w:r w:rsidRPr="00813176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Маргарита</w:t>
        </w:r>
      </w:hyperlink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», глава «Извлечение Мастера»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Салтыков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-Щедрин. «...Висит человек снаружи дома, в ящике на веревке, и стену краской мажет, или по крыше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словно муха ходит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— это он самый я и есть! — отвечал мужик» («Повесть о том, как один мужик двух генералов прокормил»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Гоголь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. «Еще военный все-таки кажет из себя, а как наденет </w:t>
      </w:r>
      <w:proofErr w:type="spell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фрачишку</w:t>
      </w:r>
      <w:proofErr w:type="spell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 — ну т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очно муха с подрезанными крыльями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 (Городничий в комедии «Ревизор»)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</w:p>
    <w:p w:rsidR="00813176" w:rsidRPr="00813176" w:rsidRDefault="00813176" w:rsidP="0081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b/>
          <w:bCs/>
          <w:color w:val="B8312F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2) Лексически: 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при помощи слов «похож, подобен, похожий, подобный, походит, напоминает, наподобие, вроде и 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др.»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Грибоедов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 «Кричим — подумаешь, что сотни голосов'...» (Репетилов в комедии «Горе от ума», д. 4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Пушкин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 «Ныне злобно, Врагам наследственным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подобно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,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Как в страшном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, непонятном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 сне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, Они друг другу в тишине Готовят гибель хладнокровно...» («Евгений </w:t>
      </w:r>
      <w:hyperlink r:id="rId14" w:history="1">
        <w:r w:rsidRPr="00813176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Онегин</w:t>
        </w:r>
      </w:hyperlink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», глава 6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Горький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 «Подвал,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похожий 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на пещеру» (ремарка в начале пьесы «На дне»).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b/>
          <w:bCs/>
          <w:color w:val="B8312F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3) Существительным в творительном падеже: 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Зелеными облаками и неправильными </w:t>
      </w:r>
      <w:proofErr w:type="spellStart"/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трепетолистными</w:t>
      </w:r>
      <w:proofErr w:type="spellEnd"/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куполами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лежалина</w:t>
      </w:r>
      <w:proofErr w:type="spell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 небесном горизонте соединенные вершины разросшихся на свободе дерев» («Мертвые души», глава 6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Камчатским</w:t>
      </w:r>
      <w:proofErr w:type="gramEnd"/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медведем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без льдины Где не ужиться (и не тешусь!). Где унижаться — мне едино» («Тоска по родине! Давно...»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Шолохов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 «Въехали хищниками, так в голубую зимнюю ночь появляются около жилья волки...» («Тихий Дон», кн. I, ч. 3, глава 5).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b/>
          <w:bCs/>
          <w:color w:val="B8312F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4) Сравнительной степенью прилагательного или наречия</w:t>
      </w:r>
      <w:r w:rsidRPr="00813176">
        <w:rPr>
          <w:rFonts w:ascii="GothaPro" w:eastAsia="Times New Roman" w:hAnsi="GothaPro" w:cs="Times New Roman"/>
          <w:b/>
          <w:bCs/>
          <w:color w:val="B8312F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Солженицын. «Этот черпак для него сейчас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дороже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воли, дороже жизни всей прежней и всей будущей» («Один день Ивана Денисовича»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Лермонтов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 «...И мы сплелись, как пара змей, Обнявшись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крепче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двух друзей, Упали разом...» («</w:t>
      </w:r>
      <w:hyperlink r:id="rId15" w:history="1">
        <w:r w:rsidRPr="00813176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Мцыри</w:t>
        </w:r>
      </w:hyperlink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),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Жуковский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 «...Мертвец (Лик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мрачнее 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ночи)...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 («Светлана»),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Пастернак. «...Перенестись туда, где ливень 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Еще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шумней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чернил и слез» («Февраль. Достать чернил и плакать!..»).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</w:p>
    <w:p w:rsidR="00813176" w:rsidRPr="00813176" w:rsidRDefault="00813176" w:rsidP="00813176">
      <w:pPr>
        <w:spacing w:line="240" w:lineRule="auto"/>
        <w:textAlignment w:val="baseline"/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</w:pPr>
      <w:r w:rsidRPr="00813176">
        <w:rPr>
          <w:rFonts w:ascii="inherit" w:eastAsia="Times New Roman" w:hAnsi="inherit" w:cs="Times New Roman"/>
          <w:b/>
          <w:bCs/>
          <w:color w:val="B8312F"/>
          <w:spacing w:val="3"/>
          <w:sz w:val="26"/>
          <w:szCs w:val="26"/>
          <w:bdr w:val="none" w:sz="0" w:space="0" w:color="auto" w:frame="1"/>
          <w:lang w:eastAsia="ru-RU"/>
        </w:rPr>
        <w:t>ФРАЗЕОЛОГИЗМ</w:t>
      </w:r>
      <w:r w:rsidRPr="00813176">
        <w:rPr>
          <w:rFonts w:ascii="GothaPro" w:eastAsia="Times New Roman" w:hAnsi="GothaPro" w:cs="Times New Roman"/>
          <w:color w:val="3C763D"/>
          <w:spacing w:val="3"/>
          <w:sz w:val="26"/>
          <w:szCs w:val="26"/>
          <w:lang w:eastAsia="ru-RU"/>
        </w:rPr>
        <w:t> – устойчивое словосочетание.</w:t>
      </w:r>
    </w:p>
    <w:p w:rsidR="00042E52" w:rsidRDefault="00813176" w:rsidP="00813176"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Гончаров. «</w:t>
      </w:r>
      <w:hyperlink r:id="rId16" w:history="1">
        <w:r w:rsidRPr="00813176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Обломов</w:t>
        </w:r>
      </w:hyperlink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был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 в своей тарелке.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..» («</w:t>
      </w:r>
      <w:hyperlink r:id="rId17" w:history="1">
        <w:r w:rsidRPr="00813176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Обломов</w:t>
        </w:r>
      </w:hyperlink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», ч. 2, глава 11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Я чаю,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 небо с овчинку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показалось...» (Пугачев — </w:t>
      </w:r>
      <w:hyperlink r:id="rId18" w:history="1">
        <w:r w:rsidRPr="00813176">
          <w:rPr>
            <w:rFonts w:ascii="GothaPro" w:eastAsia="Times New Roman" w:hAnsi="GothaPro" w:cs="Times New Roman"/>
            <w:color w:val="0089FF"/>
            <w:spacing w:val="3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Гриневу</w:t>
        </w:r>
      </w:hyperlink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в повести «Капитанская дочка», глава «Незваный гость»).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Маяковский. «Двери вдруг </w:t>
      </w:r>
      <w:proofErr w:type="spell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заляскали</w:t>
      </w:r>
      <w:proofErr w:type="spell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, будто у гостиницы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 попадает зуб на зуб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 («Облако в штанах»</w:t>
      </w:r>
      <w:proofErr w:type="gramStart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),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Это</w:t>
      </w:r>
      <w:proofErr w:type="gramEnd"/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 xml:space="preserve"> был человек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старого закала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, не разделявший новейших воззрений» (слуга Петр в романе «Отцы и дети», глава 2).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lang w:eastAsia="ru-RU"/>
        </w:rPr>
        <w:br/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«Впрочем, он был в душе добрый человек, хорош с товарищами, услужлив, но генеральский чин совершенно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сбил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 его </w:t>
      </w:r>
      <w:r w:rsidRPr="00813176">
        <w:rPr>
          <w:rFonts w:ascii="inherit" w:eastAsia="Times New Roman" w:hAnsi="inherit" w:cs="Times New Roman"/>
          <w:b/>
          <w:bCs/>
          <w:i/>
          <w:iCs/>
          <w:color w:val="1A1A1A"/>
          <w:spacing w:val="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 толку</w:t>
      </w:r>
      <w:r w:rsidRPr="00813176">
        <w:rPr>
          <w:rFonts w:ascii="GothaPro" w:eastAsia="Times New Roman" w:hAnsi="GothaPro" w:cs="Times New Roman"/>
          <w:color w:val="1A1A1A"/>
          <w:spacing w:val="3"/>
          <w:sz w:val="26"/>
          <w:szCs w:val="26"/>
          <w:shd w:val="clear" w:color="auto" w:fill="FFFFFF"/>
          <w:lang w:eastAsia="ru-RU"/>
        </w:rPr>
        <w:t>» (о значительном лице в повести «Шинель»).</w:t>
      </w:r>
      <w:bookmarkStart w:id="0" w:name="_GoBack"/>
      <w:bookmarkEnd w:id="0"/>
    </w:p>
    <w:sectPr w:rsidR="0004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a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D46"/>
    <w:multiLevelType w:val="multilevel"/>
    <w:tmpl w:val="AC3A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3E"/>
    <w:rsid w:val="00042E52"/>
    <w:rsid w:val="00813176"/>
    <w:rsid w:val="00D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D0BDA-9886-4E99-98A2-4D90B96D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8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2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2091731626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731658190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979533419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68160954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549807873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172530359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486627941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430930652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litgeroi/105-alfavit-literaturnyh-geroev-oblomov.html" TargetMode="External"/><Relationship Id="rId13" Type="http://schemas.openxmlformats.org/officeDocument/2006/relationships/hyperlink" Target="https://rustutors.ru/litgeroi/118-literaturnye-geroi-margarita.html" TargetMode="External"/><Relationship Id="rId18" Type="http://schemas.openxmlformats.org/officeDocument/2006/relationships/hyperlink" Target="https://rustutors.ru/litgeroi/120-grine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tutors.ru/litgeroi/130-mcyri.html" TargetMode="External"/><Relationship Id="rId12" Type="http://schemas.openxmlformats.org/officeDocument/2006/relationships/hyperlink" Target="https://rustutors.ru/litgeroi/117-literaturnye-geroi-master.html" TargetMode="External"/><Relationship Id="rId17" Type="http://schemas.openxmlformats.org/officeDocument/2006/relationships/hyperlink" Target="https://rustutors.ru/litgeroi/105-alfavit-literaturnyh-geroev-oblom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tutors.ru/litgeroi/105-alfavit-literaturnyh-geroev-oblomov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stutors.ru/litgeroi/105-alfavit-literaturnyh-geroev-oblomov.html" TargetMode="External"/><Relationship Id="rId11" Type="http://schemas.openxmlformats.org/officeDocument/2006/relationships/hyperlink" Target="https://rustutors.ru/litgeroi/130-mcyri.html" TargetMode="External"/><Relationship Id="rId5" Type="http://schemas.openxmlformats.org/officeDocument/2006/relationships/hyperlink" Target="https://rustutors.ru/oge/teoryoge/1994-analiz-sredstv-vyrazitelnosti-zadanie-7-ogje-po-russkomu-jazyku.html" TargetMode="External"/><Relationship Id="rId15" Type="http://schemas.openxmlformats.org/officeDocument/2006/relationships/hyperlink" Target="https://rustutors.ru/litgeroi/130-mcyri.html" TargetMode="External"/><Relationship Id="rId10" Type="http://schemas.openxmlformats.org/officeDocument/2006/relationships/hyperlink" Target="https://rustutors.ru/litgeroi/123-chacki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tutors.ru/recomenduem/116-literaturnye-geroi-bolkonskiy.html" TargetMode="External"/><Relationship Id="rId14" Type="http://schemas.openxmlformats.org/officeDocument/2006/relationships/hyperlink" Target="https://rustutors.ru/litgeroi/115-literaturnye-geroi-oneg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</dc:creator>
  <cp:keywords/>
  <dc:description/>
  <cp:lastModifiedBy>Qwerty1</cp:lastModifiedBy>
  <cp:revision>2</cp:revision>
  <dcterms:created xsi:type="dcterms:W3CDTF">2020-02-15T14:34:00Z</dcterms:created>
  <dcterms:modified xsi:type="dcterms:W3CDTF">2020-02-15T14:34:00Z</dcterms:modified>
</cp:coreProperties>
</file>