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428B5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Форма 2.8. Отчет об исполнении управляющей организацией договора управления.</w:t>
      </w:r>
    </w:p>
    <w:p>
      <w:pPr>
        <w:jc w:val="center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ООО «НовоГрад»</w:t>
      </w: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b w:val="1"/>
          <w:sz w:val="18"/>
        </w:rPr>
        <w:t>по ул. Ботвина 12 Б</w:t>
      </w:r>
    </w:p>
    <w:tbl>
      <w:tblPr>
        <w:tblpPr w:leftFromText="180" w:rightFromText="180" w:tblpX="1" w:tblpY="1" w:vertAnchor="text"/>
        <w:tblOverlap w:val="never"/>
        <w:tblW w:w="4948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spacing w:before="120" w:after="120" w:beforeAutospacing="0" w:afterAutospacing="0"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№ п/п</w:t>
            </w:r>
          </w:p>
        </w:tc>
        <w:tc>
          <w:tcPr>
            <w:tcW w:w="3396" w:type="pct"/>
            <w:vAlign w:val="center"/>
          </w:tcPr>
          <w:p>
            <w:pPr>
              <w:spacing w:before="120" w:after="120" w:beforeAutospacing="0" w:afterAutospacing="0"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Наименование параметра</w:t>
            </w:r>
          </w:p>
        </w:tc>
        <w:tc>
          <w:tcPr>
            <w:tcW w:w="652" w:type="pct"/>
            <w:vAlign w:val="center"/>
          </w:tcPr>
          <w:p>
            <w:pPr>
              <w:spacing w:before="120" w:after="120" w:beforeAutospacing="0" w:afterAutospacing="0"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Ед. изм.</w:t>
            </w:r>
          </w:p>
        </w:tc>
        <w:tc>
          <w:tcPr>
            <w:tcW w:w="656" w:type="pct"/>
            <w:vAlign w:val="center"/>
          </w:tcPr>
          <w:p>
            <w:pPr>
              <w:spacing w:before="120" w:after="120" w:beforeAutospacing="0" w:afterAutospacing="0"/>
              <w:jc w:val="center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Значение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Дата заполнения/внесения изменений</w:t>
            </w:r>
          </w:p>
        </w:tc>
        <w:tc>
          <w:tcPr>
            <w:tcW w:w="652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Дата начала отчетного периода</w:t>
            </w:r>
          </w:p>
        </w:tc>
        <w:tc>
          <w:tcPr>
            <w:tcW w:w="652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01.05.2022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Дата конца отчетного периода</w:t>
            </w:r>
          </w:p>
        </w:tc>
        <w:tc>
          <w:tcPr>
            <w:tcW w:w="652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31.12.2022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652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368060,00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за содержание дома</w:t>
            </w:r>
          </w:p>
        </w:tc>
        <w:tc>
          <w:tcPr>
            <w:tcW w:w="652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184030,00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за текущий ремонт</w:t>
            </w:r>
          </w:p>
        </w:tc>
        <w:tc>
          <w:tcPr>
            <w:tcW w:w="652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110418.00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за услуги управления </w:t>
            </w:r>
          </w:p>
        </w:tc>
        <w:tc>
          <w:tcPr>
            <w:tcW w:w="652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73612,00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Получено денежных средств, в т. ч: </w:t>
            </w:r>
          </w:p>
        </w:tc>
        <w:tc>
          <w:tcPr>
            <w:tcW w:w="652" w:type="pct"/>
          </w:tcPr>
          <w:p>
            <w:pPr>
              <w:contextualSpacing w:val="1"/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284007,51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денежных средств от потребителей </w:t>
            </w:r>
          </w:p>
        </w:tc>
        <w:tc>
          <w:tcPr>
            <w:tcW w:w="652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284007,51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целевых взносов от потребителей</w:t>
            </w:r>
          </w:p>
        </w:tc>
        <w:tc>
          <w:tcPr>
            <w:tcW w:w="652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субсидий</w:t>
            </w:r>
          </w:p>
        </w:tc>
        <w:tc>
          <w:tcPr>
            <w:tcW w:w="652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денежных средств от использования общего имущества</w:t>
            </w:r>
          </w:p>
        </w:tc>
        <w:tc>
          <w:tcPr>
            <w:tcW w:w="652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0,00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numPr>
                <w:ilvl w:val="0"/>
                <w:numId w:val="2"/>
              </w:num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прочие поступления</w:t>
            </w:r>
          </w:p>
        </w:tc>
        <w:tc>
          <w:tcPr>
            <w:tcW w:w="652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Авансовые платежи потребителей (на конец периода)</w:t>
            </w:r>
          </w:p>
        </w:tc>
        <w:tc>
          <w:tcPr>
            <w:tcW w:w="652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spacing w:lineRule="auto" w:line="300" w:beforeAutospacing="0" w:afterAutospacing="0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Задолженность потребителей (на конец периода)</w:t>
            </w:r>
          </w:p>
        </w:tc>
        <w:tc>
          <w:tcPr>
            <w:tcW w:w="652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84052,49</w:t>
            </w:r>
          </w:p>
        </w:tc>
      </w:tr>
    </w:tbl>
    <w:p>
      <w:pPr>
        <w:rPr>
          <w:rFonts w:ascii="Arial" w:hAnsi="Arial"/>
          <w:b w:val="1"/>
          <w:sz w:val="18"/>
        </w:rPr>
      </w:pPr>
    </w:p>
    <w:p>
      <w:pPr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Выполненные работы (оказанные услуги) по содержанию общего имущества и текущему ремонту в отчётном периоде (заполняется по каждому виду работы (услуги))</w:t>
      </w:r>
    </w:p>
    <w:p>
      <w:pPr>
        <w:rPr>
          <w:rFonts w:ascii="Arial" w:hAnsi="Arial"/>
          <w:sz w:val="18"/>
        </w:rPr>
      </w:pPr>
    </w:p>
    <w:tbl>
      <w:tblPr>
        <w:tblpPr w:leftFromText="180" w:rightFromText="180" w:tblpX="1" w:tblpY="5" w:horzAnchor="margin" w:vertAnchor="text"/>
        <w:tblW w:w="0" w:type="auto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25"/>
        </w:trPr>
        <w:tc>
          <w:tcPr>
            <w:tcW w:w="3787" w:type="dxa"/>
          </w:tcPr>
          <w:p>
            <w:pPr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Наименование работ (услуг)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Годовая фактическая стоимость работ (услуг)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Периодичность выполнения работ (оказания услуг)</w:t>
            </w:r>
          </w:p>
        </w:tc>
        <w:tc>
          <w:tcPr>
            <w:tcW w:w="1244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Единица измерения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Стоимость на единицу измерения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1. Работы (услуги) по управлению многоквартирным домом ( в том числе материально техническое обеспечение, средства оплаченные за расчетно-кассовое обслуживание и направленные на оплату налога по УСН)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93979,55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2.70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sz w:val="18"/>
              </w:rPr>
              <w:t>1.1 Работы (услуги) по управлению многоквартирным домом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72710,70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Ежедневно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2.25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1.2. Оплачено за рассчетно-кассовое обслуживание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8507,54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0.15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1.3 Средства направленные на оплату налога по УСН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12761,31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0.30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1142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2. Работы (услуги) по содержанию общего имущества многоквартирного дома (в том числе </w:t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затраты на материально-техническое обеспечение работ производственного персонала)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118147.69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2.1 Работы (услуги) по санитарному содержанию мест общего пользования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42000.00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2.2</w:t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>Работы (услуги) по санитарному содержанию придомовой территории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46000.00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2.3.1  Работы (услуги) по содержанию и техническому обслуживанию внутридомового инженерного оборудования и конструктивных элементов дома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</w:t>
            </w:r>
            <w:bookmarkStart w:id="0" w:name="_GoBack"/>
            <w:bookmarkEnd w:id="0"/>
            <w:r>
              <w:rPr>
                <w:rFonts w:ascii="Arial" w:hAnsi="Arial"/>
                <w:sz w:val="20"/>
              </w:rPr>
              <w:t>533,43</w:t>
            </w:r>
          </w:p>
          <w:p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2.3.2  Материально-техническое обеспечение работ по содержанию общего имущества многоквартирного дома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2614.26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rPr>
                <w:rFonts w:ascii="Arial" w:hAnsi="Arial"/>
                <w:sz w:val="18"/>
              </w:rPr>
            </w:pP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0.20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3. Разовые работы по текущему и непредвиденному ремонту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84002.75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2.50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3.1 Опрессовка и промывка системы отопления дома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14500.00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3.2 Электротехнические работы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2673.00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3.3</w:t>
            </w:r>
            <w:r>
              <w:rPr>
                <w:sz w:val="28"/>
              </w:rPr>
              <w:t xml:space="preserve"> </w:t>
            </w:r>
            <w:r>
              <w:rPr>
                <w:rFonts w:ascii="Arial" w:hAnsi="Arial"/>
                <w:sz w:val="18"/>
              </w:rPr>
              <w:t>Материалы по текущему ремонту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8836.75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3.4 Поверка общедомового прибора учета тепловой энергии ОДПУ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36479.00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3.5 Герметизация межпанельных швов 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7520.00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3.6 Замена преобразователя давления на общедомовом приборе учета тепловой энергии ОДПУ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8394.00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3.7 Работы по благоустройству территории 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2300.00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3.8 Обследование вентканалов 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3.9 Аварийно ремонтные работы </w:t>
            </w:r>
          </w:p>
        </w:tc>
        <w:tc>
          <w:tcPr>
            <w:tcW w:w="1673" w:type="dxa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2500.00</w:t>
            </w:r>
          </w:p>
        </w:tc>
        <w:tc>
          <w:tcPr>
            <w:tcW w:w="1949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rPr>
                <w:rFonts w:ascii="Arial" w:hAnsi="Arial"/>
                <w:sz w:val="18"/>
              </w:rPr>
            </w:pPr>
          </w:p>
        </w:tc>
      </w:tr>
    </w:tbl>
    <w:p>
      <w:pPr>
        <w:rPr>
          <w:rFonts w:ascii="Arial" w:hAnsi="Arial"/>
          <w:sz w:val="18"/>
        </w:rPr>
      </w:pPr>
    </w:p>
    <w:p>
      <w:pPr>
        <w:rPr>
          <w:rFonts w:ascii="Arial" w:hAnsi="Arial"/>
          <w:sz w:val="18"/>
        </w:rPr>
      </w:pPr>
    </w:p>
    <w:p>
      <w:pPr>
        <w:rPr>
          <w:rFonts w:ascii="Arial" w:hAnsi="Arial"/>
          <w:sz w:val="18"/>
        </w:rPr>
      </w:pPr>
    </w:p>
    <w:tbl>
      <w:tblPr>
        <w:tblpPr w:leftFromText="180" w:rightFromText="180" w:tblpX="1" w:tblpY="1" w:vertAnchor="text"/>
        <w:tblOverlap w:val="never"/>
        <w:tblW w:w="5157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Направлено претензий потребителям-должникам</w:t>
            </w:r>
          </w:p>
        </w:tc>
        <w:tc>
          <w:tcPr>
            <w:tcW w:w="616" w:type="pct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Направлено исковых заявлений</w:t>
            </w:r>
          </w:p>
        </w:tc>
        <w:tc>
          <w:tcPr>
            <w:tcW w:w="616" w:type="pct"/>
          </w:tcPr>
          <w:p>
            <w:pPr>
              <w:jc w:val="center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7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</w:tcPr>
          <w:p>
            <w:pPr>
              <w:spacing w:lineRule="auto" w:line="300" w:beforeAutospacing="0" w:afterAutospacing="0"/>
              <w:contextualSpacing w:val="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16" w:type="pct"/>
          </w:tcPr>
          <w:p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904" w:type="pct"/>
          </w:tcPr>
          <w:p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4540.00</w:t>
            </w:r>
          </w:p>
        </w:tc>
      </w:tr>
    </w:tbl>
    <w:p>
      <w:pPr>
        <w:rPr>
          <w:rFonts w:ascii="Arial" w:hAnsi="Arial"/>
          <w:sz w:val="18"/>
        </w:rPr>
        <w:sectPr>
          <w:type w:val="nextPage"/>
          <w:pgSz w:w="11906" w:h="16838" w:code="9"/>
          <w:pgMar w:left="1418" w:right="567" w:top="567" w:bottom="567" w:header="709" w:footer="709" w:gutter="0"/>
          <w:cols w:equalWidth="1" w:space="720"/>
        </w:sectPr>
      </w:pPr>
    </w:p>
    <w:p>
      <w:pPr>
        <w:tabs>
          <w:tab w:val="left" w:pos="1399" w:leader="none"/>
        </w:tabs>
        <w:rPr>
          <w:rFonts w:ascii="Arial" w:hAnsi="Arial"/>
          <w:sz w:val="18"/>
        </w:rPr>
      </w:pPr>
    </w:p>
    <w:sectPr>
      <w:type w:val="nextPage"/>
      <w:pgSz w:w="11906" w:h="16838" w:code="9"/>
      <w:pgMar w:left="851" w:right="851" w:top="567" w:bottom="567" w:header="709" w:footer="709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1BE056C"/>
    <w:multiLevelType w:val="hybridMultilevel"/>
    <w:lvl w:ilvl="0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54DE09D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 New Roman" w:hAnsi="Times New Roman"/>
      <w:sz w:val="24"/>
    </w:rPr>
  </w:style>
  <w:style w:type="paragraph" w:styleId="P1">
    <w:name w:val="heading 1"/>
    <w:basedOn w:val="P0"/>
    <w:next w:val="P0"/>
    <w:qFormat/>
    <w:pPr>
      <w:spacing w:before="100" w:after="100" w:beforeAutospacing="1" w:afterAutospacing="1"/>
      <w:outlineLvl w:val="0"/>
    </w:pPr>
    <w:rPr>
      <w:b w:val="1"/>
      <w:sz w:val="48"/>
    </w:rPr>
  </w:style>
  <w:style w:type="paragraph" w:styleId="P2">
    <w:name w:val="Balloon Text"/>
    <w:basedOn w:val="P0"/>
    <w:qFormat/>
    <w:pPr/>
    <w:rPr>
      <w:rFonts w:ascii="Tahoma" w:hAnsi="Tahoma"/>
      <w:sz w:val="16"/>
    </w:rPr>
  </w:style>
  <w:style w:type="paragraph" w:styleId="P3">
    <w:name w:val="header"/>
    <w:basedOn w:val="P0"/>
    <w:qFormat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4">
    <w:name w:val="Body Text"/>
    <w:basedOn w:val="P0"/>
    <w:qFormat/>
    <w:pPr>
      <w:widowControl w:val="0"/>
      <w:shd w:val="clear" w:fill="FFFFFF"/>
      <w:spacing w:lineRule="atLeast" w:line="240" w:before="300" w:after="300" w:beforeAutospacing="0" w:afterAutospacing="0"/>
    </w:pPr>
    <w:rPr>
      <w:b w:val="1"/>
      <w:sz w:val="23"/>
    </w:rPr>
  </w:style>
  <w:style w:type="paragraph" w:styleId="P5">
    <w:name w:val="footer"/>
    <w:basedOn w:val="P0"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6">
    <w:name w:val="ConsPlusCell"/>
    <w:qFormat/>
    <w:pPr/>
    <w:rPr>
      <w:rFonts w:ascii="Times New Roman" w:hAnsi="Times New Roman"/>
      <w:sz w:val="28"/>
    </w:rPr>
  </w:style>
  <w:style w:type="paragraph" w:styleId="P7">
    <w:name w:val="List Paragraph"/>
    <w:basedOn w:val="P0"/>
    <w:qFormat/>
    <w:pPr>
      <w:spacing w:lineRule="auto" w:line="258" w:after="160" w:beforeAutospacing="0" w:afterAutospacing="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qFormat/>
    <w:rPr/>
  </w:style>
  <w:style w:type="character" w:styleId="C1">
    <w:name w:val="Line Number"/>
    <w:basedOn w:val="C0"/>
    <w:semiHidden/>
    <w:rPr/>
  </w:style>
  <w:style w:type="character" w:styleId="C2">
    <w:name w:val="Hyperlink"/>
    <w:qFormat/>
    <w:rPr>
      <w:color w:val="0563C1"/>
      <w:u w:val="single"/>
    </w:rPr>
  </w:style>
  <w:style w:type="character" w:styleId="C3">
    <w:name w:val="Emphasis"/>
    <w:qFormat/>
    <w:rPr>
      <w:i w:val="1"/>
    </w:rPr>
  </w:style>
  <w:style w:type="character" w:styleId="C4">
    <w:name w:val="line number"/>
    <w:basedOn w:val="C0"/>
    <w:semiHidden/>
    <w:rPr/>
  </w:style>
  <w:style w:type="character" w:styleId="C5">
    <w:name w:val="Верхний колонтитул Знак"/>
    <w:qFormat/>
    <w:rPr/>
  </w:style>
  <w:style w:type="character" w:styleId="C6">
    <w:name w:val="Нижний колонтитул Знак"/>
    <w:rPr/>
  </w:style>
  <w:style w:type="character" w:styleId="C7">
    <w:name w:val="Заголовок 1 Знак"/>
    <w:rPr>
      <w:b w:val="1"/>
      <w:sz w:val="48"/>
    </w:rPr>
  </w:style>
  <w:style w:type="character" w:styleId="C8">
    <w:name w:val="Основной текст + 9 pt"/>
    <w:rPr>
      <w:rFonts w:ascii="Times New Roman" w:hAnsi="Times New Roman"/>
      <w:sz w:val="18"/>
      <w:u w:val="none"/>
    </w:rPr>
  </w:style>
  <w:style w:type="character" w:styleId="C9">
    <w:name w:val="Основной текст Знак"/>
    <w:rPr>
      <w:b w:val="1"/>
      <w:sz w:val="23"/>
    </w:rPr>
  </w:style>
  <w:style w:type="character" w:styleId="C10">
    <w:name w:val="Основной текст + 9 pt4"/>
    <w:rPr>
      <w:rFonts w:ascii="Times New Roman" w:hAnsi="Times New Roman"/>
      <w:b w:val="1"/>
      <w:sz w:val="18"/>
      <w:u w:val="none"/>
    </w:rPr>
  </w:style>
  <w:style w:type="character" w:styleId="C11">
    <w:name w:val="Основной текст + 9 pt3"/>
    <w:rPr>
      <w:rFonts w:ascii="Times New Roman" w:hAnsi="Times New Roman"/>
      <w:sz w:val="18"/>
      <w:u w:val="none"/>
    </w:rPr>
  </w:style>
  <w:style w:type="character" w:styleId="C12">
    <w:name w:val="Основной текст + 9 pt1"/>
    <w:rPr/>
  </w:style>
  <w:style w:type="character" w:styleId="C13">
    <w:name w:val="Основной текст + 10"/>
    <w:qFormat/>
    <w:rPr>
      <w:rFonts w:ascii="Times New Roman" w:hAnsi="Times New Roman"/>
      <w:b w:val="1"/>
      <w:sz w:val="21"/>
      <w:u w:val="none"/>
    </w:rPr>
  </w:style>
  <w:style w:type="character" w:styleId="C14">
    <w:name w:val="Основной текст + 9 pt2"/>
    <w:rPr/>
  </w:style>
  <w:style w:type="character" w:styleId="C15">
    <w:name w:val="Основной текст (6)"/>
    <w:rPr>
      <w:rFonts w:ascii="Times New Roman" w:hAnsi="Times New Roman"/>
      <w:sz w:val="27"/>
      <w:u w:val="single"/>
    </w:rPr>
  </w:style>
  <w:style w:type="character" w:styleId="C16">
    <w:name w:val="Основной текст (5) + Полужирный1"/>
    <w:rPr>
      <w:rFonts w:ascii="Times New Roman" w:hAnsi="Times New Roman"/>
      <w:b w:val="1"/>
      <w:i w:val="1"/>
      <w:sz w:val="26"/>
      <w:u w:val="single"/>
    </w:rPr>
  </w:style>
  <w:style w:type="character" w:styleId="C17">
    <w:name w:val="Текст выноски Знак"/>
    <w:qFormat/>
    <w:rPr>
      <w:rFonts w:ascii="Tahoma" w:hAnsi="Tahoma"/>
      <w:sz w:val="16"/>
    </w:rPr>
  </w:style>
  <w:style w:type="table" w:styleId="T0" w:default="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qFormat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lastRow">
      <w:tblPr/>
      <w:trPr/>
      <w:tcPr>
        <w:tcBorders>
          <w:top w:val="single" w:sz="6" w:space="0" w:shadow="0" w:fram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Row">
      <w:tblPr/>
      <w:trPr/>
      <w:tcPr>
        <w:tcBorders>
          <w:top w:val="nil"/>
          <w:left w:val="single" w:sz="6" w:space="0" w:shadow="0" w:fram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2">
    <w:name w:val="Table Grid"/>
    <w:basedOn w:val="T0"/>
    <w:qFormat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