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19148F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Форма 2.8. Отчет об исполнении управляющей организацией договора управления.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ООО «НовоГрад»</w:t>
      </w:r>
    </w:p>
    <w:p>
      <w:pPr>
        <w:pStyle w:val="P1"/>
        <w:jc w:val="center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по ул. Ком. Набережная, дом 14</w:t>
      </w:r>
    </w:p>
    <w:p>
      <w:pPr>
        <w:pStyle w:val="P1"/>
        <w:jc w:val="both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4948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294" w:type="pct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№ п/п</w:t>
            </w:r>
          </w:p>
        </w:tc>
        <w:tc>
          <w:tcPr>
            <w:tcW w:w="339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Наименование параметра</w:t>
            </w:r>
          </w:p>
        </w:tc>
        <w:tc>
          <w:tcPr>
            <w:tcW w:w="654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Ед. изм.</w:t>
            </w:r>
          </w:p>
        </w:tc>
        <w:tc>
          <w:tcPr>
            <w:tcW w:w="656" w:type="pct"/>
            <w:vAlign w:val="center"/>
          </w:tcPr>
          <w:p>
            <w:pPr>
              <w:pStyle w:val="P1"/>
              <w:spacing w:before="120" w:after="120" w:beforeAutospacing="0" w:afterAutospacing="0"/>
              <w:jc w:val="center"/>
              <w:rPr>
                <w:rStyle w:val="C4"/>
                <w:rFonts w:ascii="Arial" w:hAnsi="Arial"/>
                <w:b w:val="1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b w:val="1"/>
                <w:color w:val="000000"/>
                <w:sz w:val="18"/>
              </w:rPr>
              <w:t>Значение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заполнения/внесения изменений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начала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01.01.2023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Дата конца отчетного периода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-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31.12.2023</w:t>
            </w:r>
          </w:p>
        </w:tc>
      </w:tr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Общая информация об оказании услуг (выполнении работ) по содержанию и текущему ремонту общего имущества 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463729,20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содержание дома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0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231812,35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 текущий ремонт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  139087,41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за услуги управления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both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   91724,94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Получено денежных средств, в т. ч: </w:t>
            </w:r>
          </w:p>
        </w:tc>
        <w:tc>
          <w:tcPr>
            <w:tcW w:w="654" w:type="pct"/>
          </w:tcPr>
          <w:p>
            <w:pPr>
              <w:pStyle w:val="P1"/>
              <w:contextualSpacing w:val="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41683.0.22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 xml:space="preserve">денежных средств от потребителей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407830,22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целевых взносов от потребителей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субсидий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денежных средств от использования общего имущества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9000.00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numPr>
                <w:ilvl w:val="0"/>
                <w:numId w:val="2"/>
              </w:numPr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прочие поступления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0.00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Всего денежных средств 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416830.22</w:t>
            </w:r>
          </w:p>
        </w:tc>
      </w:tr>
      <w:tr>
        <w:trPr>
          <w:trHeight w:hRule="atLeast" w:val="288"/>
        </w:trPr>
        <w:tc>
          <w:tcPr>
            <w:tcW w:w="294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396" w:type="pct"/>
            <w:vAlign w:val="bottom"/>
          </w:tcPr>
          <w:p>
            <w:pPr>
              <w:pStyle w:val="P1"/>
              <w:spacing w:lineRule="auto" w:line="300" w:beforeAutospacing="0" w:afterAutospacing="0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Задолженность потребителей (на конец периода)</w:t>
            </w:r>
          </w:p>
        </w:tc>
        <w:tc>
          <w:tcPr>
            <w:tcW w:w="65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65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277575,93</w:t>
            </w: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b w:val="1"/>
          <w:sz w:val="18"/>
        </w:rPr>
      </w:pPr>
      <w:r>
        <w:rPr>
          <w:rStyle w:val="C4"/>
          <w:rFonts w:ascii="Arial" w:hAnsi="Arial"/>
          <w:b w:val="1"/>
          <w:sz w:val="18"/>
        </w:rPr>
        <w:t>Выполненные работы (оказанные услуги) по содержанию общего имущества и текущему ремонту в отчётном периоде (заполняется по каждому виду работы (услуги))</w:t>
      </w: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5" w:horzAnchor="margin" w:vertAnchor="text"/>
        <w:tblW w:w="0" w:type="auto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4A0"/>
      </w:tblPr>
      <w:tblGrid/>
      <w:tr>
        <w:trPr>
          <w:trHeight w:hRule="atLeast" w:val="425"/>
        </w:trPr>
        <w:tc>
          <w:tcPr>
            <w:tcW w:w="3787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Наименование работ (услуг)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Годовая фактическая стоимость работ (услуг)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Периодичность выполнения работ (оказания услуг)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Единица измерения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Стоимость на единицу измерения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1. Работы (услуги) по управлению многоквартирным домом ( в том числе материально техническое обеспечение, средства оплаченные за расчетно-кассовое обслуживание и направленные на оплату налога по УСН)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123662,02</w:t>
            </w:r>
          </w:p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2.70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1.1 Работы (услуги) по управлению многоквартирным домом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108325,20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Ежедневно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2.25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1.2. Оплачено за рассчетно-кассовое обслуживание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4115,56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0.15            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 Средства направленные на оплату налога по УСН</w:t>
            </w:r>
          </w:p>
        </w:tc>
        <w:tc>
          <w:tcPr>
            <w:tcW w:w="1673" w:type="dxa"/>
          </w:tcPr>
          <w:p>
            <w:pPr>
              <w:pStyle w:val="P1"/>
              <w:ind w:hanging="0" w:left="0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11221,26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Ежемесячно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 xml:space="preserve">2. Работы (услуги) по содержанию общего имущества многоквартирного дома (в том числе </w:t>
            </w:r>
            <w:r>
              <w:rPr>
                <w:rStyle w:val="C4"/>
                <w:sz w:val="20"/>
              </w:rPr>
              <w:t xml:space="preserve"> </w:t>
            </w:r>
            <w:r>
              <w:rPr>
                <w:rStyle w:val="C4"/>
                <w:rFonts w:ascii="Arial" w:hAnsi="Arial"/>
                <w:b w:val="1"/>
                <w:sz w:val="18"/>
              </w:rPr>
              <w:t>затраты на материально-техническое обеспечение работ производственного персонала)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133554,30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4.60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2.1 Работы (услуги) по санитарному содержанию мест общего пользования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41325,00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624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2.2</w:t>
            </w:r>
            <w: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Работы (услуги) по санитарному содержанию придомовой территории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41400.00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   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1.30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2.3.1 Работы (услуги) по содержанию и техническому обслуживанию внутридомового инженерного оборудования и конструктивных элементов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44692,84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графику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1.90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2.3.2 /Материально-техническое обеспечение работ по содержанию общего имущества многоквартирного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3136,43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0.10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 Разовые работы по текущему и непредвиденному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b w:val="1"/>
                <w:sz w:val="20"/>
              </w:rPr>
            </w:pPr>
            <w:r>
              <w:rPr>
                <w:rStyle w:val="C4"/>
                <w:rFonts w:ascii="Arial" w:hAnsi="Arial"/>
                <w:b w:val="1"/>
                <w:sz w:val="20"/>
              </w:rPr>
              <w:t>144916.08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 мере необходимости</w:t>
            </w: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руб./кв.м</w:t>
            </w:r>
          </w:p>
        </w:tc>
        <w:tc>
          <w:tcPr>
            <w:tcW w:w="1484" w:type="dxa"/>
          </w:tcPr>
          <w:p>
            <w:pPr>
              <w:pStyle w:val="P1"/>
              <w:jc w:val="right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3.50</w:t>
            </w: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3.1 Опрессовка и промывка системы отопления дома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12500.00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3.2 Ремонт кровли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73120.00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3.3 </w:t>
            </w:r>
            <w:r>
              <w:rPr>
                <w:rStyle w:val="C4"/>
                <w:sz w:val="28"/>
              </w:rPr>
              <w:t xml:space="preserve"> </w:t>
            </w:r>
            <w:r>
              <w:rPr>
                <w:rStyle w:val="C4"/>
                <w:rFonts w:ascii="Arial" w:hAnsi="Arial"/>
                <w:sz w:val="18"/>
              </w:rPr>
              <w:t>Материалы по текущему ремонту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4308.20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3.4. Текущий ремонт (электротехнические работы, сварочные, герметизация межпанельных швов)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11270.50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3.5. Ремонт мусорного ограждения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3000.00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 xml:space="preserve">3.6. Усиление балконной плиты 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33300.00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  <w:tr>
        <w:trPr>
          <w:trHeight w:hRule="atLeast" w:val="449"/>
        </w:trPr>
        <w:tc>
          <w:tcPr>
            <w:tcW w:w="3787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3.7 Техническое обслуживание ВДГО (внутридомовое газовое оборудование- сетей)</w:t>
            </w:r>
          </w:p>
        </w:tc>
        <w:tc>
          <w:tcPr>
            <w:tcW w:w="1673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7417.38</w:t>
            </w:r>
          </w:p>
        </w:tc>
        <w:tc>
          <w:tcPr>
            <w:tcW w:w="1949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</w:p>
        </w:tc>
        <w:tc>
          <w:tcPr>
            <w:tcW w:w="1244" w:type="dxa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руб.</w:t>
            </w:r>
          </w:p>
        </w:tc>
        <w:tc>
          <w:tcPr>
            <w:tcW w:w="1484" w:type="dxa"/>
          </w:tcPr>
          <w:p>
            <w:pPr>
              <w:pStyle w:val="P1"/>
              <w:rPr>
                <w:rStyle w:val="C4"/>
                <w:rFonts w:ascii="Arial" w:hAnsi="Arial"/>
                <w:sz w:val="18"/>
              </w:rPr>
            </w:pPr>
          </w:p>
        </w:tc>
      </w:tr>
    </w:tbl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p>
      <w:pPr>
        <w:pStyle w:val="P1"/>
        <w:rPr>
          <w:rStyle w:val="C4"/>
          <w:rFonts w:ascii="Arial" w:hAnsi="Arial"/>
          <w:sz w:val="18"/>
        </w:rPr>
      </w:pPr>
    </w:p>
    <w:tbl>
      <w:tblPr>
        <w:tblStyle w:val="T2"/>
        <w:tblpPr w:leftFromText="180" w:rightFromText="180" w:tblpX="1" w:tblpY="1" w:vertAnchor="text"/>
        <w:tblOverlap w:val="never"/>
        <w:tblW w:w="5157" w:type="pct"/>
        <w:tblInd w:w="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4A0"/>
      </w:tblPr>
      <w:tblGrid/>
      <w:tr>
        <w:trPr>
          <w:trHeight w:hRule="atLeast" w:val="288"/>
        </w:trPr>
        <w:tc>
          <w:tcPr>
            <w:tcW w:w="5000" w:type="pct"/>
            <w:gridSpan w:val="4"/>
          </w:tcPr>
          <w:p>
            <w:pPr>
              <w:pStyle w:val="P1"/>
              <w:rPr>
                <w:rStyle w:val="C4"/>
                <w:rFonts w:ascii="Arial" w:hAnsi="Arial"/>
                <w:b w:val="1"/>
                <w:sz w:val="18"/>
              </w:rPr>
            </w:pPr>
            <w:r>
              <w:rPr>
                <w:rStyle w:val="C4"/>
                <w:rFonts w:ascii="Arial" w:hAnsi="Arial"/>
                <w:b w:val="1"/>
                <w:sz w:val="18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претензий потребителям-должникам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9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  <w:vAlign w:val="bottom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Направлено исковых заявлений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color w:val="000000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ед.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-</w:t>
            </w:r>
          </w:p>
        </w:tc>
      </w:tr>
      <w:tr>
        <w:trPr>
          <w:trHeight w:hRule="atLeast" w:val="288"/>
        </w:trPr>
        <w:tc>
          <w:tcPr>
            <w:tcW w:w="277" w:type="pct"/>
          </w:tcPr>
          <w:p>
            <w:pPr>
              <w:pStyle w:val="P4"/>
              <w:numPr>
                <w:ilvl w:val="0"/>
                <w:numId w:val="1"/>
              </w:numPr>
              <w:spacing w:lineRule="auto" w:line="300" w:beforeAutospacing="0" w:afterAutospacing="0"/>
              <w:ind w:left="313"/>
              <w:rPr>
                <w:rStyle w:val="C4"/>
                <w:rFonts w:ascii="Arial" w:hAnsi="Arial"/>
                <w:color w:val="000000"/>
                <w:sz w:val="18"/>
              </w:rPr>
            </w:pPr>
          </w:p>
        </w:tc>
        <w:tc>
          <w:tcPr>
            <w:tcW w:w="3202" w:type="pct"/>
          </w:tcPr>
          <w:p>
            <w:pPr>
              <w:pStyle w:val="P1"/>
              <w:spacing w:lineRule="auto" w:line="300" w:beforeAutospacing="0" w:afterAutospacing="0"/>
              <w:contextualSpacing w:val="1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sz w:val="18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616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18"/>
              </w:rPr>
            </w:pPr>
            <w:r>
              <w:rPr>
                <w:rStyle w:val="C4"/>
                <w:rFonts w:ascii="Arial" w:hAnsi="Arial"/>
                <w:color w:val="000000"/>
                <w:sz w:val="18"/>
              </w:rPr>
              <w:t>руб.</w:t>
            </w:r>
          </w:p>
        </w:tc>
        <w:tc>
          <w:tcPr>
            <w:tcW w:w="904" w:type="pct"/>
          </w:tcPr>
          <w:p>
            <w:pPr>
              <w:pStyle w:val="P1"/>
              <w:jc w:val="center"/>
              <w:rPr>
                <w:rStyle w:val="C4"/>
                <w:rFonts w:ascii="Arial" w:hAnsi="Arial"/>
                <w:sz w:val="20"/>
              </w:rPr>
            </w:pPr>
            <w:r>
              <w:rPr>
                <w:rStyle w:val="C4"/>
                <w:rFonts w:ascii="Arial" w:hAnsi="Arial"/>
                <w:sz w:val="20"/>
              </w:rPr>
              <w:t>69652.00</w:t>
            </w:r>
          </w:p>
        </w:tc>
      </w:tr>
    </w:tbl>
    <w:p>
      <w:pPr>
        <w:pStyle w:val="P1"/>
        <w:tabs>
          <w:tab w:val="left" w:pos="1399" w:leader="none"/>
        </w:tabs>
        <w:rPr>
          <w:rStyle w:val="C4"/>
          <w:rFonts w:ascii="Arial" w:hAnsi="Arial"/>
          <w:sz w:val="18"/>
        </w:rPr>
      </w:pPr>
    </w:p>
    <w:sectPr>
      <w:type w:val="nextPage"/>
      <w:pgSz w:w="11906" w:h="16838" w:code="9"/>
      <w:pgMar w:left="851" w:right="851" w:top="567" w:bottom="567" w:header="709" w:footer="709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1BE056C"/>
    <w:multiLevelType w:val="hybridMultilevel"/>
    <w:lvl w:ilvl="0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>
      <w:start w:val="1"/>
      <w:numFmt w:val="decimal"/>
      <w:suff w:val="tab"/>
      <w:lvlText w:val="%2."/>
      <w:lvlJc w:val="left"/>
      <w:pPr>
        <w:ind w:hanging="360" w:left="1440"/>
        <w:tabs>
          <w:tab w:val="left" w:pos="1440" w:leader="none"/>
        </w:tabs>
      </w:pPr>
      <w:rPr/>
    </w:lvl>
    <w:lvl w:ilvl="2">
      <w:start w:val="1"/>
      <w:numFmt w:val="decimal"/>
      <w:suff w:val="tab"/>
      <w:lvlText w:val="%3."/>
      <w:lvlJc w:val="left"/>
      <w:pPr>
        <w:ind w:hanging="360" w:left="2160"/>
        <w:tabs>
          <w:tab w:val="left" w:pos="2160" w:leader="none"/>
        </w:tabs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  <w:tabs>
          <w:tab w:val="left" w:pos="2880" w:leader="none"/>
        </w:tabs>
      </w:pPr>
      <w:rPr/>
    </w:lvl>
    <w:lvl w:ilvl="4">
      <w:start w:val="1"/>
      <w:numFmt w:val="decimal"/>
      <w:suff w:val="tab"/>
      <w:lvlText w:val="%5."/>
      <w:lvlJc w:val="left"/>
      <w:pPr>
        <w:ind w:hanging="360" w:left="3600"/>
        <w:tabs>
          <w:tab w:val="left" w:pos="3600" w:leader="none"/>
        </w:tabs>
      </w:pPr>
      <w:rPr/>
    </w:lvl>
    <w:lvl w:ilvl="5">
      <w:start w:val="1"/>
      <w:numFmt w:val="decimal"/>
      <w:suff w:val="tab"/>
      <w:lvlText w:val="%6."/>
      <w:lvlJc w:val="left"/>
      <w:pPr>
        <w:ind w:hanging="360" w:left="4320"/>
        <w:tabs>
          <w:tab w:val="left" w:pos="4320" w:leader="none"/>
        </w:tabs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  <w:tabs>
          <w:tab w:val="left" w:pos="5040" w:leader="none"/>
        </w:tabs>
      </w:pPr>
      <w:rPr/>
    </w:lvl>
    <w:lvl w:ilvl="7">
      <w:start w:val="1"/>
      <w:numFmt w:val="decimal"/>
      <w:suff w:val="tab"/>
      <w:lvlText w:val="%8."/>
      <w:lvlJc w:val="left"/>
      <w:pPr>
        <w:ind w:hanging="360" w:left="5760"/>
        <w:tabs>
          <w:tab w:val="left" w:pos="5760" w:leader="none"/>
        </w:tabs>
      </w:pPr>
      <w:rPr/>
    </w:lvl>
    <w:lvl w:ilvl="8">
      <w:start w:val="1"/>
      <w:numFmt w:val="decimal"/>
      <w:suff w:val="tab"/>
      <w:lvlText w:val="%9."/>
      <w:lvlJc w:val="left"/>
      <w:pPr>
        <w:ind w:hanging="360" w:left="6480"/>
        <w:tabs>
          <w:tab w:val="left" w:pos="6480" w:leader="none"/>
        </w:tabs>
      </w:pPr>
      <w:rPr/>
    </w:lvl>
  </w:abstractNum>
  <w:abstractNum w:abstractNumId="1">
    <w:nsid w:val="54DE09D1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>
      <w:start w:val="1"/>
      <w:numFmt w:val="decimal"/>
      <w:suff w:val="tab"/>
      <w:lvlText w:val="%4."/>
      <w:lvlJc w:val="left"/>
      <w:pPr>
        <w:ind w:hanging="360" w:left="2880"/>
      </w:pPr>
      <w:rPr/>
    </w:lvl>
    <w:lvl w:ilvl="4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>
      <w:start w:val="1"/>
      <w:numFmt w:val="decimal"/>
      <w:suff w:val="tab"/>
      <w:lvlText w:val="%7."/>
      <w:lvlJc w:val="left"/>
      <w:pPr>
        <w:ind w:hanging="360" w:left="5040"/>
      </w:pPr>
      <w:rPr/>
    </w:lvl>
    <w:lvl w:ilvl="7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1"/>
  </w:num>
  <w:num w:numId="2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Обычный1"/>
    <w:qFormat/>
    <w:pPr/>
    <w:rPr>
      <w:rFonts w:ascii="Times New Roman" w:hAnsi="Times New Roman"/>
      <w:sz w:val="24"/>
    </w:rPr>
  </w:style>
  <w:style w:type="paragraph" w:styleId="P2">
    <w:name w:val="ConsPlusCell"/>
    <w:qFormat/>
    <w:pPr/>
    <w:rPr>
      <w:rFonts w:ascii="Times New Roman" w:hAnsi="Times New Roman"/>
      <w:sz w:val="28"/>
    </w:rPr>
  </w:style>
  <w:style w:type="paragraph" w:styleId="P3">
    <w:name w:val="Заголовок 11"/>
    <w:basedOn w:val="P1"/>
    <w:qFormat/>
    <w:pPr>
      <w:spacing w:before="100" w:after="100" w:beforeAutospacing="1" w:afterAutospacing="1"/>
      <w:outlineLvl w:val="0"/>
    </w:pPr>
    <w:rPr>
      <w:b w:val="1"/>
      <w:sz w:val="48"/>
    </w:rPr>
  </w:style>
  <w:style w:type="paragraph" w:styleId="P4">
    <w:name w:val="List Paragraph"/>
    <w:basedOn w:val="P1"/>
    <w:qFormat/>
    <w:pPr>
      <w:ind w:left="720"/>
      <w:contextualSpacing w:val="1"/>
    </w:pPr>
    <w:rPr>
      <w:sz w:val="20"/>
    </w:rPr>
  </w:style>
  <w:style w:type="paragraph" w:styleId="P5">
    <w:name w:val="Верх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6">
    <w:name w:val="Нижний колонтитул1"/>
    <w:basedOn w:val="P1"/>
    <w:qFormat/>
    <w:pPr>
      <w:tabs>
        <w:tab w:val="center" w:pos="4677" w:leader="none"/>
        <w:tab w:val="right" w:pos="9355" w:leader="none"/>
      </w:tabs>
    </w:pPr>
    <w:rPr>
      <w:sz w:val="20"/>
    </w:rPr>
  </w:style>
  <w:style w:type="paragraph" w:styleId="P7">
    <w:name w:val="Основной текст1"/>
    <w:basedOn w:val="P1"/>
    <w:qFormat/>
    <w:pPr>
      <w:widowControl w:val="0"/>
      <w:shd w:val="clear" w:fill="FFFFFF"/>
      <w:spacing w:lineRule="atLeast" w:line="240" w:before="300" w:after="300" w:beforeAutospacing="0" w:afterAutospacing="0"/>
    </w:pPr>
    <w:rPr>
      <w:b w:val="1"/>
      <w:sz w:val="23"/>
    </w:rPr>
  </w:style>
  <w:style w:type="paragraph" w:styleId="P8">
    <w:name w:val="Текст выноски1"/>
    <w:basedOn w:val="P1"/>
    <w:qFormat/>
    <w:pPr/>
    <w:rPr>
      <w:rFonts w:ascii="Tahoma" w:hAnsi="Tahoma"/>
      <w:sz w:val="16"/>
    </w:rPr>
  </w:style>
  <w:style w:type="paragraph" w:styleId="P9">
    <w:name w:val="Абзац списка1"/>
    <w:basedOn w:val="P1"/>
    <w:qFormat/>
    <w:pPr>
      <w:spacing w:lineRule="auto" w:line="258" w:after="160" w:beforeAutospacing="0" w:afterAutospacing="0"/>
      <w:ind w:left="720"/>
      <w:contextualSpacing w:val="1"/>
    </w:pPr>
    <w:rPr>
      <w:rFonts w:ascii="Calibri" w:hAnsi="Calibri"/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qFormat/>
    <w:rPr>
      <w:color w:val="0000FF"/>
      <w:u w:val="single"/>
    </w:rPr>
  </w:style>
  <w:style w:type="character" w:styleId="C3">
    <w:name w:val="line number"/>
    <w:basedOn w:val="C0"/>
    <w:semiHidden/>
    <w:qFormat/>
    <w:rPr/>
  </w:style>
  <w:style w:type="character" w:styleId="C4">
    <w:name w:val="Основной шрифт абзаца1"/>
    <w:qFormat/>
    <w:rPr/>
  </w:style>
  <w:style w:type="character" w:styleId="C5">
    <w:name w:val="Выделение1"/>
    <w:qFormat/>
    <w:rPr>
      <w:i w:val="1"/>
    </w:rPr>
  </w:style>
  <w:style w:type="character" w:styleId="C6">
    <w:name w:val="Верхний колонтитул Знак"/>
    <w:qFormat/>
    <w:rPr/>
  </w:style>
  <w:style w:type="character" w:styleId="C7">
    <w:name w:val="Нижний колонтитул Знак"/>
    <w:qFormat/>
    <w:rPr/>
  </w:style>
  <w:style w:type="character" w:styleId="C8">
    <w:name w:val="Заголовок 1 Знак"/>
    <w:qFormat/>
    <w:rPr>
      <w:b w:val="1"/>
      <w:sz w:val="48"/>
    </w:rPr>
  </w:style>
  <w:style w:type="character" w:styleId="C9">
    <w:name w:val="Гиперссылка1"/>
    <w:qFormat/>
    <w:rPr>
      <w:color w:val="0563C1"/>
      <w:u w:val="single"/>
    </w:rPr>
  </w:style>
  <w:style w:type="character" w:styleId="C10">
    <w:name w:val="Основной текст + 9 pt"/>
    <w:qFormat/>
    <w:rPr>
      <w:rFonts w:ascii="Times New Roman" w:hAnsi="Times New Roman"/>
      <w:sz w:val="18"/>
      <w:u w:val="none"/>
    </w:rPr>
  </w:style>
  <w:style w:type="character" w:styleId="C11">
    <w:name w:val="Основной текст Знак"/>
    <w:qFormat/>
    <w:rPr>
      <w:b w:val="1"/>
      <w:sz w:val="23"/>
    </w:rPr>
  </w:style>
  <w:style w:type="character" w:styleId="C12">
    <w:name w:val="Основной текст + 9 pt4"/>
    <w:qFormat/>
    <w:rPr>
      <w:rFonts w:ascii="Times New Roman" w:hAnsi="Times New Roman"/>
      <w:b w:val="1"/>
      <w:sz w:val="18"/>
      <w:u w:val="none"/>
    </w:rPr>
  </w:style>
  <w:style w:type="character" w:styleId="C13">
    <w:name w:val="Основной текст + 9 pt3"/>
    <w:qFormat/>
    <w:rPr>
      <w:rFonts w:ascii="Times New Roman" w:hAnsi="Times New Roman"/>
      <w:sz w:val="18"/>
      <w:u w:val="none"/>
    </w:rPr>
  </w:style>
  <w:style w:type="character" w:styleId="C14">
    <w:name w:val="Основной текст + 9 pt1"/>
    <w:qFormat/>
    <w:rPr/>
  </w:style>
  <w:style w:type="character" w:styleId="C15">
    <w:name w:val="Основной текст + 10"/>
    <w:qFormat/>
    <w:rPr>
      <w:rFonts w:ascii="Times New Roman" w:hAnsi="Times New Roman"/>
      <w:b w:val="1"/>
      <w:sz w:val="21"/>
      <w:u w:val="none"/>
    </w:rPr>
  </w:style>
  <w:style w:type="character" w:styleId="C16">
    <w:name w:val="Основной текст + 9 pt2"/>
    <w:qFormat/>
    <w:rPr/>
  </w:style>
  <w:style w:type="character" w:styleId="C17">
    <w:name w:val="Основной текст (6)"/>
    <w:qFormat/>
    <w:rPr>
      <w:rFonts w:ascii="Times New Roman" w:hAnsi="Times New Roman"/>
      <w:sz w:val="27"/>
      <w:u w:val="single"/>
    </w:rPr>
  </w:style>
  <w:style w:type="character" w:styleId="C18">
    <w:name w:val="Основной текст (5) + Полужирный1"/>
    <w:qFormat/>
    <w:rPr>
      <w:rFonts w:ascii="Times New Roman" w:hAnsi="Times New Roman"/>
      <w:b w:val="1"/>
      <w:i w:val="1"/>
      <w:sz w:val="26"/>
      <w:u w:val="single"/>
    </w:rPr>
  </w:style>
  <w:style w:type="character" w:styleId="C19">
    <w:name w:val="Текст выноски Знак"/>
    <w:qFormat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qFormat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  <w:tblStylePr w:type="lastRow">
      <w:tblPr/>
      <w:trPr/>
      <w:tcPr>
        <w:tcBorders>
          <w:top w:val="single" w:sz="6" w:space="0" w:shadow="0" w:fram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Row">
      <w:tblPr/>
      <w:trPr/>
      <w:tcPr>
        <w:tcBorders>
          <w:top w:val="nil"/>
          <w:left w:val="single" w:sz="6" w:space="0" w:shadow="0" w:fram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2">
    <w:name w:val="Обычная таблица1"/>
    <w:qFormat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3">
    <w:name w:val="Сетка таблицы1"/>
    <w:basedOn w:val="T2"/>
    <w:qFormat/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