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19923FC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rFonts w:ascii="Arial" w:hAnsi="Arial"/>
          <w:b w:val="1"/>
          <w:sz w:val="18"/>
        </w:rPr>
      </w:pPr>
      <w:r>
        <w:rPr>
          <w:rFonts w:ascii="Arial" w:hAnsi="Arial"/>
          <w:b w:val="1"/>
          <w:sz w:val="18"/>
        </w:rPr>
        <w:t>Форма 2.8. Отчет об исполнении управляющей организацией договора управления.</w:t>
      </w:r>
    </w:p>
    <w:p>
      <w:pPr>
        <w:jc w:val="center"/>
        <w:rPr>
          <w:rFonts w:ascii="Arial" w:hAnsi="Arial"/>
          <w:b w:val="1"/>
          <w:sz w:val="18"/>
        </w:rPr>
      </w:pPr>
      <w:r>
        <w:rPr>
          <w:rFonts w:ascii="Arial" w:hAnsi="Arial"/>
          <w:b w:val="1"/>
          <w:sz w:val="18"/>
        </w:rPr>
        <w:t>ООО «НовоГрад»</w:t>
      </w:r>
    </w:p>
    <w:p>
      <w:pPr>
        <w:jc w:val="center"/>
        <w:rPr>
          <w:rFonts w:ascii="Arial" w:hAnsi="Arial"/>
          <w:sz w:val="18"/>
        </w:rPr>
      </w:pPr>
      <w:r>
        <w:rPr>
          <w:rFonts w:ascii="Arial" w:hAnsi="Arial"/>
          <w:b w:val="1"/>
          <w:sz w:val="18"/>
        </w:rPr>
        <w:t xml:space="preserve">по ул. Яблочкова. дом 2 Б </w:t>
      </w:r>
    </w:p>
    <w:tbl>
      <w:tblPr>
        <w:tblpPr w:leftFromText="180" w:rightFromText="180" w:tblpX="1" w:tblpY="1" w:vertAnchor="text"/>
        <w:tblOverlap w:val="never"/>
        <w:tblW w:w="4948" w:type="pct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fixed"/>
        <w:tblLook w:val="04A0"/>
      </w:tblPr>
      <w:tblGrid/>
      <w:tr>
        <w:trPr>
          <w:trHeight w:hRule="atLeast" w:val="288"/>
        </w:trPr>
        <w:tc>
          <w:tcPr>
            <w:tcW w:w="294" w:type="pct"/>
          </w:tcPr>
          <w:p>
            <w:pPr>
              <w:spacing w:before="120" w:after="120" w:beforeAutospacing="0" w:afterAutospacing="0"/>
              <w:jc w:val="center"/>
              <w:rPr>
                <w:rFonts w:ascii="Arial" w:hAnsi="Arial"/>
                <w:b w:val="1"/>
                <w:color w:val="000000"/>
                <w:sz w:val="18"/>
              </w:rPr>
            </w:pPr>
            <w:r>
              <w:rPr>
                <w:rFonts w:ascii="Arial" w:hAnsi="Arial"/>
                <w:b w:val="1"/>
                <w:color w:val="000000"/>
                <w:sz w:val="18"/>
              </w:rPr>
              <w:t>№ п/п</w:t>
            </w:r>
          </w:p>
        </w:tc>
        <w:tc>
          <w:tcPr>
            <w:tcW w:w="3396" w:type="pct"/>
            <w:vAlign w:val="center"/>
          </w:tcPr>
          <w:p>
            <w:pPr>
              <w:spacing w:before="120" w:after="120" w:beforeAutospacing="0" w:afterAutospacing="0"/>
              <w:jc w:val="center"/>
              <w:rPr>
                <w:rFonts w:ascii="Arial" w:hAnsi="Arial"/>
                <w:b w:val="1"/>
                <w:color w:val="000000"/>
                <w:sz w:val="18"/>
              </w:rPr>
            </w:pPr>
            <w:r>
              <w:rPr>
                <w:rFonts w:ascii="Arial" w:hAnsi="Arial"/>
                <w:b w:val="1"/>
                <w:color w:val="000000"/>
                <w:sz w:val="18"/>
              </w:rPr>
              <w:t>Наименование параметра</w:t>
            </w:r>
          </w:p>
        </w:tc>
        <w:tc>
          <w:tcPr>
            <w:tcW w:w="653" w:type="pct"/>
            <w:vAlign w:val="center"/>
          </w:tcPr>
          <w:p>
            <w:pPr>
              <w:spacing w:before="120" w:after="120" w:beforeAutospacing="0" w:afterAutospacing="0"/>
              <w:jc w:val="center"/>
              <w:rPr>
                <w:rFonts w:ascii="Arial" w:hAnsi="Arial"/>
                <w:b w:val="1"/>
                <w:color w:val="000000"/>
                <w:sz w:val="18"/>
              </w:rPr>
            </w:pPr>
            <w:r>
              <w:rPr>
                <w:rFonts w:ascii="Arial" w:hAnsi="Arial"/>
                <w:b w:val="1"/>
                <w:color w:val="000000"/>
                <w:sz w:val="18"/>
              </w:rPr>
              <w:t>Ед. изм.</w:t>
            </w:r>
          </w:p>
        </w:tc>
        <w:tc>
          <w:tcPr>
            <w:tcW w:w="656" w:type="pct"/>
            <w:vAlign w:val="center"/>
          </w:tcPr>
          <w:p>
            <w:pPr>
              <w:spacing w:before="120" w:after="120" w:beforeAutospacing="0" w:afterAutospacing="0"/>
              <w:jc w:val="center"/>
              <w:rPr>
                <w:rFonts w:ascii="Arial" w:hAnsi="Arial"/>
                <w:b w:val="1"/>
                <w:color w:val="000000"/>
                <w:sz w:val="18"/>
              </w:rPr>
            </w:pPr>
            <w:r>
              <w:rPr>
                <w:rFonts w:ascii="Arial" w:hAnsi="Arial"/>
                <w:b w:val="1"/>
                <w:color w:val="000000"/>
                <w:sz w:val="18"/>
              </w:rPr>
              <w:t>Значение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</w:tcPr>
          <w:p>
            <w:pPr>
              <w:spacing w:lineRule="auto" w:line="300" w:beforeAutospacing="0" w:afterAutospacing="0"/>
              <w:contextualSpacing w:val="1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Дата заполнения/внесения изменений</w:t>
            </w:r>
          </w:p>
        </w:tc>
        <w:tc>
          <w:tcPr>
            <w:tcW w:w="653" w:type="pct"/>
          </w:tcPr>
          <w:p>
            <w:pPr>
              <w:contextualSpacing w:val="1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-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</w:tcPr>
          <w:p>
            <w:pPr>
              <w:spacing w:lineRule="auto" w:line="300" w:beforeAutospacing="0" w:afterAutospacing="0"/>
              <w:contextualSpacing w:val="1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Дата начала отчетного периода</w:t>
            </w:r>
          </w:p>
        </w:tc>
        <w:tc>
          <w:tcPr>
            <w:tcW w:w="653" w:type="pct"/>
          </w:tcPr>
          <w:p>
            <w:pPr>
              <w:contextualSpacing w:val="1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-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01.01.2023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</w:tcPr>
          <w:p>
            <w:pPr>
              <w:spacing w:lineRule="auto" w:line="300" w:beforeAutospacing="0" w:afterAutospacing="0"/>
              <w:contextualSpacing w:val="1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Дата конца отчетного периода</w:t>
            </w:r>
          </w:p>
        </w:tc>
        <w:tc>
          <w:tcPr>
            <w:tcW w:w="653" w:type="pct"/>
          </w:tcPr>
          <w:p>
            <w:pPr>
              <w:contextualSpacing w:val="1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-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31.12.2023</w:t>
            </w:r>
          </w:p>
        </w:tc>
      </w:tr>
      <w:tr>
        <w:trPr>
          <w:trHeight w:hRule="atLeast" w:val="288"/>
        </w:trPr>
        <w:tc>
          <w:tcPr>
            <w:tcW w:w="5000" w:type="pct"/>
            <w:gridSpan w:val="4"/>
          </w:tcPr>
          <w:p>
            <w:pPr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 xml:space="preserve">Общая информация об оказании услуг (выполнении работ) по содержанию и текущему ремонту общего имущества 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spacing w:lineRule="auto" w:line="300" w:beforeAutospacing="0" w:afterAutospacing="0"/>
              <w:contextualSpacing w:val="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653" w:type="pct"/>
          </w:tcPr>
          <w:p>
            <w:pPr>
              <w:contextualSpacing w:val="1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704091,98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numPr>
                <w:ilvl w:val="0"/>
                <w:numId w:val="2"/>
              </w:numPr>
              <w:spacing w:lineRule="auto" w:line="300" w:beforeAutospacing="0" w:afterAutospacing="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за содержание дома</w:t>
            </w:r>
          </w:p>
        </w:tc>
        <w:tc>
          <w:tcPr>
            <w:tcW w:w="653" w:type="pct"/>
          </w:tcPr>
          <w:p>
            <w:pPr>
              <w:contextualSpacing w:val="1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316840,95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numPr>
                <w:ilvl w:val="0"/>
                <w:numId w:val="2"/>
              </w:numPr>
              <w:spacing w:lineRule="auto" w:line="300" w:beforeAutospacing="0" w:afterAutospacing="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за текущий ремонт</w:t>
            </w:r>
          </w:p>
        </w:tc>
        <w:tc>
          <w:tcPr>
            <w:tcW w:w="653" w:type="pct"/>
          </w:tcPr>
          <w:p>
            <w:pPr>
              <w:contextualSpacing w:val="1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211227,30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numPr>
                <w:ilvl w:val="0"/>
                <w:numId w:val="2"/>
              </w:numPr>
              <w:spacing w:lineRule="auto" w:line="300" w:beforeAutospacing="0" w:afterAutospacing="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за услуги управления </w:t>
            </w:r>
          </w:p>
        </w:tc>
        <w:tc>
          <w:tcPr>
            <w:tcW w:w="653" w:type="pct"/>
          </w:tcPr>
          <w:p>
            <w:pPr>
              <w:contextualSpacing w:val="1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176023,73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spacing w:lineRule="auto" w:line="300" w:beforeAutospacing="0" w:afterAutospacing="0"/>
              <w:contextualSpacing w:val="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Получено денежных средств, в т. ч: </w:t>
            </w:r>
          </w:p>
        </w:tc>
        <w:tc>
          <w:tcPr>
            <w:tcW w:w="653" w:type="pct"/>
          </w:tcPr>
          <w:p>
            <w:pPr>
              <w:contextualSpacing w:val="1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568562,31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numPr>
                <w:ilvl w:val="0"/>
                <w:numId w:val="2"/>
              </w:numPr>
              <w:spacing w:lineRule="auto" w:line="300" w:beforeAutospacing="0" w:afterAutospacing="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денежных средств от потребителей </w:t>
            </w:r>
          </w:p>
        </w:tc>
        <w:tc>
          <w:tcPr>
            <w:tcW w:w="653" w:type="pct"/>
          </w:tcPr>
          <w:p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568562,31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numPr>
                <w:ilvl w:val="0"/>
                <w:numId w:val="2"/>
              </w:numPr>
              <w:spacing w:lineRule="auto" w:line="300" w:beforeAutospacing="0" w:afterAutospacing="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целевых взносов от потребителей</w:t>
            </w:r>
          </w:p>
        </w:tc>
        <w:tc>
          <w:tcPr>
            <w:tcW w:w="653" w:type="pct"/>
          </w:tcPr>
          <w:p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numPr>
                <w:ilvl w:val="0"/>
                <w:numId w:val="2"/>
              </w:numPr>
              <w:spacing w:lineRule="auto" w:line="300" w:beforeAutospacing="0" w:afterAutospacing="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субсидий</w:t>
            </w:r>
          </w:p>
        </w:tc>
        <w:tc>
          <w:tcPr>
            <w:tcW w:w="653" w:type="pct"/>
          </w:tcPr>
          <w:p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numPr>
                <w:ilvl w:val="0"/>
                <w:numId w:val="2"/>
              </w:numPr>
              <w:spacing w:lineRule="auto" w:line="300" w:beforeAutospacing="0" w:afterAutospacing="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денежных средств от использования общего имущества</w:t>
            </w:r>
          </w:p>
        </w:tc>
        <w:tc>
          <w:tcPr>
            <w:tcW w:w="653" w:type="pct"/>
          </w:tcPr>
          <w:p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numPr>
                <w:ilvl w:val="0"/>
                <w:numId w:val="2"/>
              </w:numPr>
              <w:spacing w:lineRule="auto" w:line="300" w:beforeAutospacing="0" w:afterAutospacing="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прочие поступления</w:t>
            </w:r>
          </w:p>
        </w:tc>
        <w:tc>
          <w:tcPr>
            <w:tcW w:w="653" w:type="pct"/>
          </w:tcPr>
          <w:p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spacing w:lineRule="auto" w:line="300" w:beforeAutospacing="0" w:afterAutospacing="0"/>
              <w:contextualSpacing w:val="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Всего денежных средств </w:t>
            </w:r>
          </w:p>
        </w:tc>
        <w:tc>
          <w:tcPr>
            <w:tcW w:w="653" w:type="pct"/>
          </w:tcPr>
          <w:p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568562,31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spacing w:lineRule="auto" w:line="300" w:beforeAutospacing="0" w:afterAutospacing="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Задолженность потребителей (на конец периода)</w:t>
            </w:r>
          </w:p>
        </w:tc>
        <w:tc>
          <w:tcPr>
            <w:tcW w:w="653" w:type="pct"/>
          </w:tcPr>
          <w:p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235714,73</w:t>
            </w:r>
          </w:p>
        </w:tc>
      </w:tr>
    </w:tbl>
    <w:p>
      <w:pPr>
        <w:rPr>
          <w:rFonts w:ascii="Arial" w:hAnsi="Arial"/>
          <w:sz w:val="18"/>
        </w:rPr>
      </w:pPr>
    </w:p>
    <w:p>
      <w:pPr>
        <w:rPr>
          <w:rFonts w:ascii="Arial" w:hAnsi="Arial"/>
          <w:b w:val="1"/>
          <w:sz w:val="18"/>
        </w:rPr>
      </w:pPr>
      <w:r>
        <w:rPr>
          <w:rFonts w:ascii="Arial" w:hAnsi="Arial"/>
          <w:b w:val="1"/>
          <w:sz w:val="18"/>
        </w:rPr>
        <w:t>Выполненные работы (оказанные услуги) по содержанию общего имущества и текущему ремонту в отчётном периоде (заполняется по каждому виду работы (услуги))</w:t>
      </w:r>
    </w:p>
    <w:p>
      <w:pPr>
        <w:rPr>
          <w:rFonts w:ascii="Arial" w:hAnsi="Arial"/>
          <w:sz w:val="18"/>
        </w:rPr>
      </w:pPr>
    </w:p>
    <w:tbl>
      <w:tblPr>
        <w:tblpPr w:leftFromText="180" w:rightFromText="180" w:tblpX="1" w:tblpY="5" w:horzAnchor="margin" w:vertAnchor="text"/>
        <w:tblW w:w="0" w:type="auto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ook w:val="04A0"/>
      </w:tblPr>
      <w:tblGrid/>
      <w:tr>
        <w:trPr>
          <w:trHeight w:hRule="atLeast" w:val="425"/>
        </w:trPr>
        <w:tc>
          <w:tcPr>
            <w:tcW w:w="3787" w:type="dxa"/>
          </w:tcPr>
          <w:p>
            <w:pPr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Наименование работ (услуг)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Годовая фактическая стоимость работ (услуг)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Периодичность выполнения работ (оказания услуг)</w:t>
            </w:r>
          </w:p>
        </w:tc>
        <w:tc>
          <w:tcPr>
            <w:tcW w:w="1244" w:type="dxa"/>
          </w:tcPr>
          <w:p>
            <w:pPr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Единица измерения</w:t>
            </w:r>
          </w:p>
        </w:tc>
        <w:tc>
          <w:tcPr>
            <w:tcW w:w="1484" w:type="dxa"/>
          </w:tcPr>
          <w:p>
            <w:pPr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Стоимость на единицу измерения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1. Работы (услуги) по управлению многоквартирным домом ( в том числе материально техническое обеспечение, средства оплаченные за расчетно-кассовое обслуживание и направленные на оплату налога по УСН)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183498,42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3.0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sz w:val="18"/>
              </w:rPr>
              <w:t>1.1 Работы (услуги) по управлению многоквартирным домом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160740,56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Ежедневно</w:t>
            </w: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2.40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1.2. Оплачено за рассчетно-кассовое обслуживание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6106,96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Ежемесячно</w:t>
            </w: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0.30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1.3 Средства направленные на оплату налога по УСН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16650,90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Ежемесячно</w:t>
            </w: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0.30</w:t>
            </w:r>
          </w:p>
        </w:tc>
      </w:tr>
      <w:tr>
        <w:trPr>
          <w:trHeight w:hRule="atLeast" w:val="1142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 xml:space="preserve">2. Работы (услуги) по содержанию общего имущества многоквартирного дома (в том числе </w:t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/>
                <w:b w:val="1"/>
                <w:sz w:val="18"/>
              </w:rPr>
              <w:t>затраты на материально-техническое обеспечение работ производственного персонала)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158252,84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5.50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2.1 Работы (услуги) по санитарному содержанию мест общего пользования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53400,00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По графику</w:t>
            </w: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1.90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2.2</w:t>
            </w:r>
            <w:r>
              <w:t xml:space="preserve"> </w:t>
            </w:r>
            <w:r>
              <w:rPr>
                <w:rFonts w:ascii="Arial" w:hAnsi="Arial"/>
                <w:sz w:val="18"/>
              </w:rPr>
              <w:t>Работы (услуги) по санитарному содержанию придомовой территории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73100.00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По графику</w:t>
            </w:r>
          </w:p>
        </w:tc>
        <w:tc>
          <w:tcPr>
            <w:tcW w:w="1244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руб./кв.м</w:t>
            </w:r>
          </w:p>
        </w:tc>
        <w:tc>
          <w:tcPr>
            <w:tcW w:w="1484" w:type="dxa"/>
          </w:tcPr>
          <w:p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1.60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2.3.1  Работы (услуги) по содержанию и техническому обслуживанию внутридомового инженерного оборудования и конструктивных элементов дома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28676,84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По графику</w:t>
            </w:r>
          </w:p>
        </w:tc>
        <w:tc>
          <w:tcPr>
            <w:tcW w:w="1244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руб./кв.м</w:t>
            </w:r>
          </w:p>
        </w:tc>
        <w:tc>
          <w:tcPr>
            <w:tcW w:w="1484" w:type="dxa"/>
          </w:tcPr>
          <w:p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1.70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2.3.2  Материально-техническое обеспечение работ по содержанию общего имущества многоквартирного дома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3076,00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По мере необходимости</w:t>
            </w:r>
          </w:p>
        </w:tc>
        <w:tc>
          <w:tcPr>
            <w:tcW w:w="1244" w:type="dxa"/>
          </w:tcPr>
          <w:p>
            <w:pPr>
              <w:rPr>
                <w:rFonts w:ascii="Arial" w:hAnsi="Arial"/>
                <w:sz w:val="18"/>
              </w:rPr>
            </w:pPr>
          </w:p>
        </w:tc>
        <w:tc>
          <w:tcPr>
            <w:tcW w:w="1484" w:type="dxa"/>
          </w:tcPr>
          <w:p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0.30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3. Разовые работы по текущему и непредвиденному ремонту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80700.90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По мере необходимости</w:t>
            </w: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4.30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3.1 Опрессовка и промывка системы отопления дома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12500.00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rPr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3.2 Текущий ремонт ( электротехнические работы, сварочные. замена труб)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9112.50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rPr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3.3</w:t>
            </w:r>
            <w:r>
              <w:rPr>
                <w:sz w:val="28"/>
              </w:rPr>
              <w:t xml:space="preserve"> </w:t>
            </w:r>
            <w:r>
              <w:rPr>
                <w:rFonts w:ascii="Arial" w:hAnsi="Arial"/>
                <w:sz w:val="18"/>
              </w:rPr>
              <w:t>Материалы по текущему ремонту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4593.70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rPr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3.4 Техническое обслуживание ВДГО (внутридомовое газовое оборудование)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9534.70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rPr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3.5 Изготовление металлических решеток на продухи в подвал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7200.00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rPr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3.6 Изготовление и установка ограждения у мусорных контейнеров 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26000.00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rPr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3.7 Дезинфекция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11760.00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rPr>
                <w:rFonts w:ascii="Arial" w:hAnsi="Arial"/>
                <w:sz w:val="18"/>
              </w:rPr>
            </w:pPr>
          </w:p>
        </w:tc>
      </w:tr>
    </w:tbl>
    <w:p>
      <w:pPr>
        <w:rPr>
          <w:rFonts w:ascii="Arial" w:hAnsi="Arial"/>
          <w:sz w:val="18"/>
        </w:rPr>
      </w:pPr>
    </w:p>
    <w:p>
      <w:pPr>
        <w:rPr>
          <w:rFonts w:ascii="Arial" w:hAnsi="Arial"/>
          <w:sz w:val="18"/>
        </w:rPr>
      </w:pPr>
    </w:p>
    <w:p>
      <w:pPr>
        <w:rPr>
          <w:rFonts w:ascii="Arial" w:hAnsi="Arial"/>
          <w:sz w:val="18"/>
        </w:rPr>
      </w:pPr>
    </w:p>
    <w:tbl>
      <w:tblPr>
        <w:tblpPr w:leftFromText="180" w:rightFromText="180" w:tblpX="1" w:tblpY="1" w:vertAnchor="text"/>
        <w:tblOverlap w:val="never"/>
        <w:tblW w:w="5157" w:type="pct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fixed"/>
        <w:tblLook w:val="04A0"/>
      </w:tblPr>
      <w:tblGrid/>
      <w:tr>
        <w:trPr>
          <w:trHeight w:hRule="atLeast" w:val="288"/>
        </w:trPr>
        <w:tc>
          <w:tcPr>
            <w:tcW w:w="5000" w:type="pct"/>
            <w:gridSpan w:val="4"/>
          </w:tcPr>
          <w:p>
            <w:pPr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>
        <w:trPr>
          <w:trHeight w:hRule="atLeast" w:val="288"/>
        </w:trPr>
        <w:tc>
          <w:tcPr>
            <w:tcW w:w="277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202" w:type="pct"/>
            <w:vAlign w:val="bottom"/>
          </w:tcPr>
          <w:p>
            <w:pPr>
              <w:spacing w:lineRule="auto" w:line="300" w:beforeAutospacing="0" w:afterAutospacing="0"/>
              <w:contextualSpacing w:val="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Направлено претензий потребителям-должникам</w:t>
            </w:r>
          </w:p>
        </w:tc>
        <w:tc>
          <w:tcPr>
            <w:tcW w:w="616" w:type="pct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ед.</w:t>
            </w:r>
          </w:p>
        </w:tc>
        <w:tc>
          <w:tcPr>
            <w:tcW w:w="904" w:type="pct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</w:t>
            </w:r>
          </w:p>
        </w:tc>
      </w:tr>
      <w:tr>
        <w:trPr>
          <w:trHeight w:hRule="atLeast" w:val="288"/>
        </w:trPr>
        <w:tc>
          <w:tcPr>
            <w:tcW w:w="277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202" w:type="pct"/>
            <w:vAlign w:val="bottom"/>
          </w:tcPr>
          <w:p>
            <w:pPr>
              <w:spacing w:lineRule="auto" w:line="300" w:beforeAutospacing="0" w:afterAutospacing="0"/>
              <w:contextualSpacing w:val="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Направлено исковых заявлений</w:t>
            </w:r>
          </w:p>
        </w:tc>
        <w:tc>
          <w:tcPr>
            <w:tcW w:w="616" w:type="pct"/>
          </w:tcPr>
          <w:p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ед.</w:t>
            </w:r>
          </w:p>
        </w:tc>
        <w:tc>
          <w:tcPr>
            <w:tcW w:w="904" w:type="pct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277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202" w:type="pct"/>
          </w:tcPr>
          <w:p>
            <w:pPr>
              <w:spacing w:lineRule="auto" w:line="300" w:beforeAutospacing="0" w:afterAutospacing="0"/>
              <w:contextualSpacing w:val="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616" w:type="pct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904" w:type="pct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37326.00</w:t>
            </w:r>
          </w:p>
        </w:tc>
      </w:tr>
    </w:tbl>
    <w:p>
      <w:pPr>
        <w:tabs>
          <w:tab w:val="left" w:pos="1399" w:leader="none"/>
        </w:tabs>
        <w:rPr>
          <w:rFonts w:ascii="Arial" w:hAnsi="Arial"/>
          <w:sz w:val="18"/>
        </w:rPr>
      </w:pPr>
    </w:p>
    <w:sectPr>
      <w:type w:val="nextPage"/>
      <w:pgSz w:w="11906" w:h="16838" w:code="9"/>
      <w:pgMar w:left="851" w:right="851" w:top="567" w:bottom="567" w:header="709" w:footer="709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1BE056C"/>
    <w:multiLevelType w:val="hybridMultilevel"/>
    <w:lvl w:ilvl="0">
      <w:start w:val="1"/>
      <w:numFmt w:val="bullet"/>
      <w:suff w:val="tab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1">
    <w:nsid w:val="54DE09D1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>
        <w:b w:val="0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1"/>
  </w:num>
  <w:num w:numId="2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>
      <w:rFonts w:ascii="Times New Roman" w:hAnsi="Times New Roman"/>
      <w:sz w:val="24"/>
    </w:rPr>
  </w:style>
  <w:style w:type="paragraph" w:styleId="P1">
    <w:name w:val="heading 1"/>
    <w:basedOn w:val="P0"/>
    <w:next w:val="P0"/>
    <w:qFormat/>
    <w:pPr>
      <w:spacing w:before="100" w:after="100" w:beforeAutospacing="1" w:afterAutospacing="1"/>
      <w:outlineLvl w:val="0"/>
    </w:pPr>
    <w:rPr>
      <w:b w:val="1"/>
      <w:sz w:val="48"/>
    </w:rPr>
  </w:style>
  <w:style w:type="paragraph" w:styleId="P2">
    <w:name w:val="Balloon Text"/>
    <w:basedOn w:val="P0"/>
    <w:qFormat/>
    <w:pPr/>
    <w:rPr>
      <w:rFonts w:ascii="Tahoma" w:hAnsi="Tahoma"/>
      <w:sz w:val="16"/>
    </w:rPr>
  </w:style>
  <w:style w:type="paragraph" w:styleId="P3">
    <w:name w:val="header"/>
    <w:basedOn w:val="P0"/>
    <w:qFormat/>
    <w:pPr>
      <w:tabs>
        <w:tab w:val="center" w:pos="4677" w:leader="none"/>
        <w:tab w:val="right" w:pos="9355" w:leader="none"/>
      </w:tabs>
    </w:pPr>
    <w:rPr>
      <w:sz w:val="20"/>
    </w:rPr>
  </w:style>
  <w:style w:type="paragraph" w:styleId="P4">
    <w:name w:val="Body Text"/>
    <w:basedOn w:val="P0"/>
    <w:qFormat/>
    <w:pPr>
      <w:widowControl w:val="0"/>
      <w:shd w:val="clear" w:fill="FFFFFF"/>
      <w:spacing w:lineRule="atLeast" w:line="240" w:before="300" w:after="300" w:beforeAutospacing="0" w:afterAutospacing="0"/>
    </w:pPr>
    <w:rPr>
      <w:b w:val="1"/>
      <w:sz w:val="23"/>
    </w:rPr>
  </w:style>
  <w:style w:type="paragraph" w:styleId="P5">
    <w:name w:val="footer"/>
    <w:basedOn w:val="P0"/>
    <w:pPr>
      <w:tabs>
        <w:tab w:val="center" w:pos="4677" w:leader="none"/>
        <w:tab w:val="right" w:pos="9355" w:leader="none"/>
      </w:tabs>
    </w:pPr>
    <w:rPr>
      <w:sz w:val="20"/>
    </w:rPr>
  </w:style>
  <w:style w:type="paragraph" w:styleId="P6">
    <w:name w:val="ConsPlusCell"/>
    <w:qFormat/>
    <w:pPr/>
    <w:rPr>
      <w:rFonts w:ascii="Times New Roman" w:hAnsi="Times New Roman"/>
      <w:sz w:val="28"/>
    </w:rPr>
  </w:style>
  <w:style w:type="paragraph" w:styleId="P7">
    <w:name w:val="List Paragraph"/>
    <w:basedOn w:val="P0"/>
    <w:qFormat/>
    <w:pPr>
      <w:spacing w:lineRule="auto" w:line="258" w:after="160" w:beforeAutospacing="0" w:afterAutospacing="0"/>
      <w:ind w:left="720"/>
      <w:contextualSpacing w:val="1"/>
    </w:pPr>
    <w:rPr>
      <w:rFonts w:ascii="Calibri" w:hAnsi="Calibri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qFormat/>
    <w:rPr>
      <w:color w:val="0563C1"/>
      <w:u w:val="single"/>
    </w:rPr>
  </w:style>
  <w:style w:type="character" w:styleId="C3">
    <w:name w:val="Emphasis"/>
    <w:qFormat/>
    <w:rPr>
      <w:i w:val="1"/>
    </w:rPr>
  </w:style>
  <w:style w:type="character" w:styleId="C4">
    <w:name w:val="line number"/>
    <w:basedOn w:val="C0"/>
    <w:semiHidden/>
    <w:qFormat/>
    <w:rPr/>
  </w:style>
  <w:style w:type="character" w:styleId="C5">
    <w:name w:val="Верхний колонтитул Знак"/>
    <w:rPr/>
  </w:style>
  <w:style w:type="character" w:styleId="C6">
    <w:name w:val="Нижний колонтитул Знак"/>
    <w:qFormat/>
    <w:rPr/>
  </w:style>
  <w:style w:type="character" w:styleId="C7">
    <w:name w:val="Заголовок 1 Знак"/>
    <w:qFormat/>
    <w:rPr>
      <w:b w:val="1"/>
      <w:sz w:val="48"/>
    </w:rPr>
  </w:style>
  <w:style w:type="character" w:styleId="C8">
    <w:name w:val="Основной текст + 9 pt"/>
    <w:qFormat/>
    <w:rPr>
      <w:rFonts w:ascii="Times New Roman" w:hAnsi="Times New Roman"/>
      <w:sz w:val="18"/>
      <w:u w:val="none"/>
    </w:rPr>
  </w:style>
  <w:style w:type="character" w:styleId="C9">
    <w:name w:val="Основной текст Знак"/>
    <w:qFormat/>
    <w:rPr>
      <w:b w:val="1"/>
      <w:sz w:val="23"/>
    </w:rPr>
  </w:style>
  <w:style w:type="character" w:styleId="C10">
    <w:name w:val="Основной текст + 9 pt4"/>
    <w:qFormat/>
    <w:rPr>
      <w:rFonts w:ascii="Times New Roman" w:hAnsi="Times New Roman"/>
      <w:b w:val="1"/>
      <w:sz w:val="18"/>
      <w:u w:val="none"/>
    </w:rPr>
  </w:style>
  <w:style w:type="character" w:styleId="C11">
    <w:name w:val="Основной текст + 9 pt3"/>
    <w:qFormat/>
    <w:rPr>
      <w:rFonts w:ascii="Times New Roman" w:hAnsi="Times New Roman"/>
      <w:sz w:val="18"/>
      <w:u w:val="none"/>
    </w:rPr>
  </w:style>
  <w:style w:type="character" w:styleId="C12">
    <w:name w:val="Основной текст + 9 pt1"/>
    <w:qFormat/>
    <w:rPr/>
  </w:style>
  <w:style w:type="character" w:styleId="C13">
    <w:name w:val="Основной текст + 10"/>
    <w:qFormat/>
    <w:rPr>
      <w:rFonts w:ascii="Times New Roman" w:hAnsi="Times New Roman"/>
      <w:b w:val="1"/>
      <w:sz w:val="21"/>
      <w:u w:val="none"/>
    </w:rPr>
  </w:style>
  <w:style w:type="character" w:styleId="C14">
    <w:name w:val="Основной текст + 9 pt2"/>
    <w:qFormat/>
    <w:rPr/>
  </w:style>
  <w:style w:type="character" w:styleId="C15">
    <w:name w:val="Основной текст (6)"/>
    <w:qFormat/>
    <w:rPr>
      <w:rFonts w:ascii="Times New Roman" w:hAnsi="Times New Roman"/>
      <w:sz w:val="27"/>
      <w:u w:val="single"/>
    </w:rPr>
  </w:style>
  <w:style w:type="character" w:styleId="C16">
    <w:name w:val="Основной текст (5) + Полужирный1"/>
    <w:qFormat/>
    <w:rPr>
      <w:rFonts w:ascii="Times New Roman" w:hAnsi="Times New Roman"/>
      <w:b w:val="1"/>
      <w:i w:val="1"/>
      <w:sz w:val="26"/>
      <w:u w:val="single"/>
    </w:rPr>
  </w:style>
  <w:style w:type="character" w:styleId="C17">
    <w:name w:val="Текст выноски Знак"/>
    <w:rPr>
      <w:rFonts w:ascii="Tahoma" w:hAnsi="Tahoma"/>
      <w:sz w:val="16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qFormat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  <w:tblStylePr w:type="lastRow">
      <w:tblPr/>
      <w:trPr/>
      <w:tcPr>
        <w:tcBorders>
          <w:top w:val="single" w:sz="6" w:space="0" w:shadow="0" w:fram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Row">
      <w:tblPr/>
      <w:trPr/>
      <w:tcPr>
        <w:tcBorders>
          <w:top w:val="nil"/>
          <w:left w:val="single" w:sz="6" w:space="0" w:shadow="0" w:fram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2">
    <w:name w:val="Table Grid"/>
    <w:basedOn w:val="T0"/>
    <w:qFormat/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