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1944F5F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jc w:val="center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Форма 2.8. Отчет об исполнении управляющей организацией договора управления.</w:t>
      </w:r>
    </w:p>
    <w:p>
      <w:pPr>
        <w:pStyle w:val="P1"/>
        <w:jc w:val="center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ООО «НовоГрад»</w:t>
      </w:r>
    </w:p>
    <w:p>
      <w:pPr>
        <w:pStyle w:val="P1"/>
        <w:jc w:val="center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по ул. Латышева, дом 6 А</w:t>
      </w:r>
    </w:p>
    <w:p>
      <w:pPr>
        <w:pStyle w:val="P1"/>
        <w:jc w:val="both"/>
        <w:rPr>
          <w:rStyle w:val="C4"/>
          <w:rFonts w:ascii="Arial" w:hAnsi="Arial"/>
          <w:sz w:val="18"/>
        </w:rPr>
      </w:pPr>
    </w:p>
    <w:tbl>
      <w:tblPr>
        <w:tblStyle w:val="T2"/>
        <w:tblpPr w:leftFromText="180" w:rightFromText="180" w:tblpX="1" w:tblpY="1" w:vertAnchor="text"/>
        <w:tblOverlap w:val="never"/>
        <w:tblW w:w="4946" w:type="pct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Look w:val="04A0"/>
      </w:tblPr>
      <w:tblGrid/>
      <w:tr>
        <w:trPr>
          <w:trHeight w:hRule="atLeast" w:val="288"/>
        </w:trPr>
        <w:tc>
          <w:tcPr>
            <w:tcW w:w="294" w:type="pct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№ п/п</w:t>
            </w:r>
          </w:p>
        </w:tc>
        <w:tc>
          <w:tcPr>
            <w:tcW w:w="3397" w:type="pct"/>
            <w:vAlign w:val="center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Наименование параметра</w:t>
            </w:r>
          </w:p>
        </w:tc>
        <w:tc>
          <w:tcPr>
            <w:tcW w:w="654" w:type="pct"/>
            <w:vAlign w:val="center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Ед. изм.</w:t>
            </w:r>
          </w:p>
        </w:tc>
        <w:tc>
          <w:tcPr>
            <w:tcW w:w="655" w:type="pct"/>
            <w:vAlign w:val="center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Значение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Дата заполнения/внесения изменений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Дата начала отчетного периода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01.01.2023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Дата конца отчетного периода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31.12.2023</w:t>
            </w:r>
          </w:p>
        </w:tc>
      </w:tr>
      <w:tr>
        <w:trPr>
          <w:trHeight w:hRule="atLeast" w:val="288"/>
        </w:trPr>
        <w:tc>
          <w:tcPr>
            <w:tcW w:w="5000" w:type="pct"/>
            <w:gridSpan w:val="4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 xml:space="preserve">Общая информация об оказании услуг (выполнении работ) по содержанию и текущему ремонту общего имущества 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Начислено за работы (услуги) по содержанию и текущему ремонту, в том числе: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357840,00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за содержание дома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0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0"/>
                <w:color w:val="000000"/>
                <w:sz w:val="18"/>
              </w:rPr>
              <w:t>161028,00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за текущий ремонт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107352,00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 xml:space="preserve">за услуги управления 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89460,00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Получено денежных средств, в т. ч: 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295934.27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 xml:space="preserve">денежных средств от потребителей 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291434,27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целевых взносов от потребителей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0.00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субсидий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0.00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денежных средств от использования общего имущества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4500.00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прочие поступления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0.00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Всего денежных средств 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295934.27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Задолженность потребителей (на конец периода)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360800,01</w:t>
            </w:r>
          </w:p>
        </w:tc>
      </w:tr>
    </w:tbl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Выполненные работы (оказанные услуги) по содержанию общего имущества и текущему ремонту в отчётном периоде (заполняется по каждому виду работы (услуги))</w:t>
      </w:r>
    </w:p>
    <w:p>
      <w:pPr>
        <w:pStyle w:val="P1"/>
        <w:rPr>
          <w:rStyle w:val="C4"/>
          <w:rFonts w:ascii="Arial" w:hAnsi="Arial"/>
          <w:sz w:val="18"/>
        </w:rPr>
      </w:pPr>
    </w:p>
    <w:tbl>
      <w:tblPr>
        <w:tblStyle w:val="T2"/>
        <w:tblpPr w:leftFromText="180" w:rightFromText="180" w:tblpX="1" w:tblpY="5" w:horzAnchor="margin" w:vertAnchor="text"/>
        <w:tblW w:w="0" w:type="auto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ook w:val="04A0"/>
      </w:tblPr>
      <w:tblGrid/>
      <w:tr>
        <w:trPr>
          <w:trHeight w:hRule="atLeast" w:val="425"/>
        </w:trPr>
        <w:tc>
          <w:tcPr>
            <w:tcW w:w="3787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Наименование работ (услуг)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Годовая фактическая стоимость работ (услуг)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Периодичность выполнения работ (оказания услуг)</w:t>
            </w:r>
          </w:p>
        </w:tc>
        <w:tc>
          <w:tcPr>
            <w:tcW w:w="1244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Единица измерения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Стоимость на единицу измерения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1. Работы (услуги) по управлению многоквартирным домом ( в том числе материально техническое обеспечение, средства оплаченные за расчетно-кассовое обслуживание и направленные на оплату налога по УСН)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71208,19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2.70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1.1 Работы (услуги) по управлению многоквартирным домом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60324.00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Ежедневно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2.25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1.2. Оплачено за рассчетно-кассовое обслуживание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2920,72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Ежемесячно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0.15            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1.3 Средства направленные на оплату налога по УСН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7963,47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Ежемесячно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0.30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 xml:space="preserve">2. Работы (услуги) по содержанию общего имущества многоквартирного дома (в том числе </w:t>
            </w:r>
            <w:r>
              <w:rPr>
                <w:rStyle w:val="C4"/>
                <w:sz w:val="20"/>
              </w:rPr>
              <w:t xml:space="preserve"> </w:t>
            </w:r>
            <w:r>
              <w:rPr>
                <w:rStyle w:val="C4"/>
                <w:rFonts w:ascii="Arial" w:hAnsi="Arial"/>
                <w:b w:val="1"/>
                <w:sz w:val="18"/>
              </w:rPr>
              <w:t>затраты на материально-техническое обеспечение работ производственного персонала)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187857,34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5.00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2.1 Работы (услуги) по санитарному содержанию мест общего пользования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62700.00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1.50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2.2</w:t>
            </w:r>
            <w:r>
              <w:t xml:space="preserve"> </w:t>
            </w:r>
            <w:r>
              <w:rPr>
                <w:rStyle w:val="C4"/>
                <w:rFonts w:ascii="Arial" w:hAnsi="Arial"/>
                <w:sz w:val="18"/>
              </w:rPr>
              <w:t>Работы (услуги) по санитарному содержанию придомовой территории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75900.00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   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1.90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2.3.1  Работы (услуги) по содержанию и техническому обслуживанию внутридомового инженерного оборудования и конструктивных элементов дома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44692,84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1.40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2.3.2 Материально-техническое обеспечение работ по содержанию общего имущества многоквартирного дома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4564,50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0.20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3. Разовые работы по текущему и непредвиденному ремонту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20"/>
              </w:rPr>
            </w:pPr>
            <w:r>
              <w:rPr>
                <w:rStyle w:val="C4"/>
                <w:rFonts w:ascii="Arial" w:hAnsi="Arial"/>
                <w:b w:val="1"/>
                <w:sz w:val="20"/>
              </w:rPr>
              <w:t>53291.49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мере необходимости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 xml:space="preserve">                  4.10</w:t>
            </w:r>
          </w:p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3.1 Опрессовка и промывка системы отопления дома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12500.00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3.2 Текущий ремонт (электротехнические работы, сварочные, замены труб)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7370.15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3.3. Техническое обслуживание ВДГО (внутридомовое газовое оборудование –сети)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5683.45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3.4. Снятие показаний по ОДПУ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4200.00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3.5. Материалы для выполнения работ по текущему ремонту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1917.00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3.6 Ремонт крыши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15750.00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3.7 Обследование вентканалов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1350.00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3.8 Аварийные ремонтные работы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4520.89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</w:tbl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tbl>
      <w:tblPr>
        <w:tblStyle w:val="T2"/>
        <w:tblpPr w:leftFromText="180" w:rightFromText="180" w:tblpX="1" w:tblpY="1" w:vertAnchor="text"/>
        <w:tblOverlap w:val="never"/>
        <w:tblW w:w="5157" w:type="pct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Look w:val="04A0"/>
      </w:tblPr>
      <w:tblGrid/>
      <w:tr>
        <w:trPr>
          <w:trHeight w:hRule="atLeast" w:val="288"/>
        </w:trPr>
        <w:tc>
          <w:tcPr>
            <w:tcW w:w="5000" w:type="pct"/>
            <w:gridSpan w:val="4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Информация о ведении претензионно-исковой работы в отношении потребителей-должников</w:t>
            </w:r>
          </w:p>
        </w:tc>
      </w:tr>
      <w:tr>
        <w:trPr>
          <w:trHeight w:hRule="atLeast" w:val="288"/>
        </w:trPr>
        <w:tc>
          <w:tcPr>
            <w:tcW w:w="277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Направлено претензий потребителям-должникам</w:t>
            </w:r>
          </w:p>
        </w:tc>
        <w:tc>
          <w:tcPr>
            <w:tcW w:w="61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ед.</w:t>
            </w:r>
          </w:p>
        </w:tc>
        <w:tc>
          <w:tcPr>
            <w:tcW w:w="90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14</w:t>
            </w:r>
          </w:p>
        </w:tc>
      </w:tr>
      <w:tr>
        <w:trPr>
          <w:trHeight w:hRule="atLeast" w:val="288"/>
        </w:trPr>
        <w:tc>
          <w:tcPr>
            <w:tcW w:w="277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Направлено исковых заявлений</w:t>
            </w:r>
          </w:p>
        </w:tc>
        <w:tc>
          <w:tcPr>
            <w:tcW w:w="61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ед.</w:t>
            </w:r>
          </w:p>
        </w:tc>
        <w:tc>
          <w:tcPr>
            <w:tcW w:w="90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4</w:t>
            </w:r>
          </w:p>
        </w:tc>
      </w:tr>
      <w:tr>
        <w:trPr>
          <w:trHeight w:hRule="atLeast" w:val="288"/>
        </w:trPr>
        <w:tc>
          <w:tcPr>
            <w:tcW w:w="277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Получено денежных средств по результатам претензионно-исковой работы</w:t>
            </w:r>
          </w:p>
        </w:tc>
        <w:tc>
          <w:tcPr>
            <w:tcW w:w="61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90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263454.00</w:t>
            </w:r>
          </w:p>
        </w:tc>
      </w:tr>
    </w:tbl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tabs>
          <w:tab w:val="left" w:pos="1399" w:leader="none"/>
        </w:tabs>
        <w:rPr>
          <w:rStyle w:val="C4"/>
          <w:rFonts w:ascii="Arial" w:hAnsi="Arial"/>
          <w:sz w:val="18"/>
        </w:rPr>
      </w:pPr>
    </w:p>
    <w:sectPr>
      <w:type w:val="nextPage"/>
      <w:pgSz w:w="11906" w:h="16838" w:code="9"/>
      <w:pgMar w:left="851" w:right="851" w:top="567" w:bottom="567" w:header="709" w:footer="709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1BE056C"/>
    <w:multiLevelType w:val="hybridMultilevel"/>
    <w:lvl w:ilvl="0">
      <w:start w:val="1"/>
      <w:numFmt w:val="bullet"/>
      <w:suff w:val="tab"/>
      <w:lvlText w:val=""/>
      <w:lvlJc w:val="left"/>
      <w:pPr>
        <w:ind w:hanging="360" w:left="720"/>
      </w:pPr>
      <w:rPr>
        <w:rFonts w:ascii="Symbol" w:hAnsi="Symbol"/>
      </w:rPr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1">
    <w:nsid w:val="54DE09D1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>
        <w:b w:val="0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1"/>
  </w:num>
  <w:num w:numId="2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paragraph" w:styleId="P1">
    <w:name w:val="Обычный1"/>
    <w:qFormat/>
    <w:pPr/>
    <w:rPr>
      <w:rFonts w:ascii="Times New Roman" w:hAnsi="Times New Roman"/>
      <w:sz w:val="24"/>
    </w:rPr>
  </w:style>
  <w:style w:type="paragraph" w:styleId="P2">
    <w:name w:val="ConsPlusCell"/>
    <w:pPr/>
    <w:rPr>
      <w:rFonts w:ascii="Times New Roman" w:hAnsi="Times New Roman"/>
      <w:sz w:val="28"/>
    </w:rPr>
  </w:style>
  <w:style w:type="paragraph" w:styleId="P3">
    <w:name w:val="Заголовок 11"/>
    <w:basedOn w:val="P1"/>
    <w:qFormat/>
    <w:pPr>
      <w:spacing w:before="100" w:after="100" w:beforeAutospacing="1" w:afterAutospacing="1"/>
      <w:outlineLvl w:val="0"/>
    </w:pPr>
    <w:rPr>
      <w:b w:val="1"/>
      <w:sz w:val="48"/>
    </w:rPr>
  </w:style>
  <w:style w:type="paragraph" w:styleId="P4">
    <w:name w:val="List Paragraph"/>
    <w:basedOn w:val="P1"/>
    <w:pPr>
      <w:ind w:left="720"/>
      <w:contextualSpacing w:val="1"/>
    </w:pPr>
    <w:rPr>
      <w:sz w:val="20"/>
    </w:rPr>
  </w:style>
  <w:style w:type="paragraph" w:styleId="P5">
    <w:name w:val="Верхний колонтитул1"/>
    <w:basedOn w:val="P1"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6">
    <w:name w:val="Нижний колонтитул1"/>
    <w:basedOn w:val="P1"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7">
    <w:name w:val="Основной текст1"/>
    <w:basedOn w:val="P1"/>
    <w:pPr>
      <w:widowControl w:val="0"/>
      <w:shd w:val="clear" w:fill="FFFFFF"/>
      <w:spacing w:lineRule="atLeast" w:line="240" w:before="300" w:after="300" w:beforeAutospacing="0" w:afterAutospacing="0"/>
    </w:pPr>
    <w:rPr>
      <w:b w:val="1"/>
      <w:sz w:val="23"/>
    </w:rPr>
  </w:style>
  <w:style w:type="paragraph" w:styleId="P8">
    <w:name w:val="Текст выноски1"/>
    <w:basedOn w:val="P1"/>
    <w:pPr/>
    <w:rPr>
      <w:rFonts w:ascii="Tahoma" w:hAnsi="Tahoma"/>
      <w:sz w:val="16"/>
    </w:rPr>
  </w:style>
  <w:style w:type="paragraph" w:styleId="P9">
    <w:name w:val="Абзац списка1"/>
    <w:basedOn w:val="P1"/>
    <w:qFormat/>
    <w:pPr>
      <w:spacing w:lineRule="auto" w:line="258" w:after="160" w:beforeAutospacing="0" w:afterAutospacing="0"/>
      <w:ind w:left="720"/>
      <w:contextualSpacing w:val="1"/>
    </w:pPr>
    <w:rPr>
      <w:rFonts w:ascii="Calibri" w:hAnsi="Calibri"/>
      <w:sz w:val="22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line number"/>
    <w:basedOn w:val="C0"/>
    <w:semiHidden/>
    <w:rPr/>
  </w:style>
  <w:style w:type="character" w:styleId="C4">
    <w:name w:val="Основной шрифт абзаца1"/>
    <w:rPr/>
  </w:style>
  <w:style w:type="character" w:styleId="C5">
    <w:name w:val="Выделение1"/>
    <w:qFormat/>
    <w:rPr>
      <w:i w:val="1"/>
    </w:rPr>
  </w:style>
  <w:style w:type="character" w:styleId="C6">
    <w:name w:val="Верхний колонтитул Знак"/>
    <w:rPr/>
  </w:style>
  <w:style w:type="character" w:styleId="C7">
    <w:name w:val="Нижний колонтитул Знак"/>
    <w:rPr/>
  </w:style>
  <w:style w:type="character" w:styleId="C8">
    <w:name w:val="Заголовок 1 Знак"/>
    <w:rPr>
      <w:b w:val="1"/>
      <w:sz w:val="48"/>
    </w:rPr>
  </w:style>
  <w:style w:type="character" w:styleId="C9">
    <w:name w:val="Гиперссылка1"/>
    <w:rPr>
      <w:color w:val="0563C1"/>
      <w:u w:val="single"/>
    </w:rPr>
  </w:style>
  <w:style w:type="character" w:styleId="C10">
    <w:name w:val="Основной текст + 9 pt"/>
    <w:rPr>
      <w:rFonts w:ascii="Times New Roman" w:hAnsi="Times New Roman"/>
      <w:sz w:val="18"/>
      <w:u w:val="none"/>
    </w:rPr>
  </w:style>
  <w:style w:type="character" w:styleId="C11">
    <w:name w:val="Основной текст Знак"/>
    <w:rPr>
      <w:b w:val="1"/>
      <w:sz w:val="23"/>
    </w:rPr>
  </w:style>
  <w:style w:type="character" w:styleId="C12">
    <w:name w:val="Основной текст + 9 pt4"/>
    <w:rPr>
      <w:rFonts w:ascii="Times New Roman" w:hAnsi="Times New Roman"/>
      <w:b w:val="1"/>
      <w:sz w:val="18"/>
      <w:u w:val="none"/>
    </w:rPr>
  </w:style>
  <w:style w:type="character" w:styleId="C13">
    <w:name w:val="Основной текст + 9 pt3"/>
    <w:rPr>
      <w:rFonts w:ascii="Times New Roman" w:hAnsi="Times New Roman"/>
      <w:sz w:val="18"/>
      <w:u w:val="none"/>
    </w:rPr>
  </w:style>
  <w:style w:type="character" w:styleId="C14">
    <w:name w:val="Основной текст + 9 pt1"/>
    <w:rPr/>
  </w:style>
  <w:style w:type="character" w:styleId="C15">
    <w:name w:val="Основной текст + 10"/>
    <w:rPr>
      <w:rFonts w:ascii="Times New Roman" w:hAnsi="Times New Roman"/>
      <w:b w:val="1"/>
      <w:sz w:val="21"/>
      <w:u w:val="none"/>
    </w:rPr>
  </w:style>
  <w:style w:type="character" w:styleId="C16">
    <w:name w:val="Основной текст + 9 pt2"/>
    <w:rPr/>
  </w:style>
  <w:style w:type="character" w:styleId="C17">
    <w:name w:val="Основной текст (6)"/>
    <w:rPr>
      <w:rFonts w:ascii="Times New Roman" w:hAnsi="Times New Roman"/>
      <w:sz w:val="27"/>
      <w:u w:val="single"/>
    </w:rPr>
  </w:style>
  <w:style w:type="character" w:styleId="C18">
    <w:name w:val="Основной текст (5) + Полужирный1"/>
    <w:rPr>
      <w:rFonts w:ascii="Times New Roman" w:hAnsi="Times New Roman"/>
      <w:b w:val="1"/>
      <w:i w:val="1"/>
      <w:sz w:val="26"/>
      <w:u w:val="single"/>
    </w:rPr>
  </w:style>
  <w:style w:type="character" w:styleId="C19">
    <w:name w:val="Текст выноски Знак"/>
    <w:rPr>
      <w:rFonts w:ascii="Tahoma" w:hAnsi="Tahoma"/>
      <w:sz w:val="16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</w:tblPr>
    <w:trPr/>
    <w:tcPr/>
    <w:tblStylePr w:type="lastRow">
      <w:tblPr/>
      <w:trPr/>
      <w:tcPr>
        <w:tcBorders>
          <w:top w:val="single" w:sz="6" w:space="0" w:shadow="0" w:fram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Row">
      <w:tblPr/>
      <w:trPr/>
      <w:tcPr>
        <w:tcBorders>
          <w:top w:val="nil"/>
          <w:left w:val="single" w:sz="6" w:space="0" w:shadow="0" w:fram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2">
    <w:name w:val="Обычная таблица1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Сетка таблицы1"/>
    <w:basedOn w:val="T2"/>
    <w:qFormat/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