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19363D9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Форма 2.8. Отчет об исполнении управляющей организацией договора управления.</w:t>
      </w:r>
    </w:p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ООО «НовоГрад»</w:t>
      </w:r>
    </w:p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по ул. Красноармейская, дом 25 «А»</w:t>
      </w:r>
    </w:p>
    <w:p>
      <w:pPr>
        <w:pStyle w:val="P1"/>
        <w:jc w:val="both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1" w:vertAnchor="text"/>
        <w:tblOverlap w:val="never"/>
        <w:tblW w:w="4946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4A0"/>
      </w:tblPr>
      <w:tblGrid/>
      <w:tr>
        <w:trPr>
          <w:trHeight w:hRule="atLeast" w:val="288"/>
        </w:trPr>
        <w:tc>
          <w:tcPr>
            <w:tcW w:w="294" w:type="pct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№ п/п</w:t>
            </w:r>
          </w:p>
        </w:tc>
        <w:tc>
          <w:tcPr>
            <w:tcW w:w="3397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Наименование параметра</w:t>
            </w:r>
          </w:p>
        </w:tc>
        <w:tc>
          <w:tcPr>
            <w:tcW w:w="654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Ед. изм.</w:t>
            </w:r>
          </w:p>
        </w:tc>
        <w:tc>
          <w:tcPr>
            <w:tcW w:w="655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Значение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заполнения/внесения изменений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начала отчетного периода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01.01.2023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конца отчетного периода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31.12.2023</w:t>
            </w:r>
          </w:p>
        </w:tc>
      </w:tr>
      <w:tr>
        <w:trPr>
          <w:trHeight w:hRule="atLeast" w:val="288"/>
        </w:trPr>
        <w:tc>
          <w:tcPr>
            <w:tcW w:w="5000" w:type="pct"/>
            <w:gridSpan w:val="4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Общая информация об оказании услуг (выполнении работ) по содержанию и текущему ремонту общего имущества 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573972,00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 содержание дома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258287,40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 текущий ремонт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172191,60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 xml:space="preserve">за услуги управления 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143493,00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Получено денежных средств, в т. ч: 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508066.86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 xml:space="preserve">денежных средств от потребителей 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497566,86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целевых взносов от потребителей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субсидий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денежных средств от использования общего имущества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both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 xml:space="preserve">  10500.00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прочие поступления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Всего денежных средств 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508066.86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Задолженность потребителей (на конец периода)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506088,78</w:t>
            </w:r>
          </w:p>
        </w:tc>
      </w:tr>
    </w:tbl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Выполненные работы (оказанные услуги) по содержанию общего имущества и текущему ремонту в отчётном периоде (заполняется по каждому виду работы (услуги))</w:t>
      </w:r>
    </w:p>
    <w:p>
      <w:pPr>
        <w:pStyle w:val="P1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5" w:horzAnchor="margin" w:vertAnchor="text"/>
        <w:tblW w:w="0" w:type="auto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4A0"/>
      </w:tblPr>
      <w:tblGrid/>
      <w:tr>
        <w:trPr>
          <w:trHeight w:hRule="atLeast" w:val="425"/>
        </w:trPr>
        <w:tc>
          <w:tcPr>
            <w:tcW w:w="3787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Наименование работ (услуг)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Годовая фактическая стоимость работ (услуг)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Периодичность выполнения работ (оказания услуг)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Единица измерения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Стоимость на единицу измерения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1. Работы (услуги) по управлению многоквартирным домом ( в том числе материально техническое обеспечение, средства оплаченные за расчетно-кассовое обслуживание и направленные на оплату налога по УСН)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148889,86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2.70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1.1 Работы (услуги) по управлению многоквартирным домом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12613,20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Ежедневно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2.25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1.2. Оплачено за рассчетно-кассовое обслуживание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6106,96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0.15            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1.3 Средства направленные на оплату налога по УСН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16650,90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0.30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2. Работы (услуги) по содержанию общего имущества многоквартирного дома (в том числе </w:t>
            </w:r>
            <w:r>
              <w:rPr>
                <w:rStyle w:val="C4"/>
                <w:sz w:val="20"/>
              </w:rPr>
              <w:t xml:space="preserve"> </w:t>
            </w:r>
            <w:r>
              <w:rPr>
                <w:rStyle w:val="C4"/>
                <w:rFonts w:ascii="Arial" w:hAnsi="Arial"/>
                <w:b w:val="1"/>
                <w:sz w:val="18"/>
              </w:rPr>
              <w:t>затраты на материально-техническое обеспечение работ производственного персонала)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138886,84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4.40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2.1 Работы (услуги) по санитарному содержанию мест общего пользования</w:t>
            </w:r>
          </w:p>
        </w:tc>
        <w:tc>
          <w:tcPr>
            <w:tcW w:w="1673" w:type="dxa"/>
          </w:tcPr>
          <w:p>
            <w:pPr>
              <w:pStyle w:val="P1"/>
              <w:ind w:hanging="0" w:left="0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43950.00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1.30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2.2</w:t>
            </w:r>
            <w:r>
              <w:t xml:space="preserve"> </w:t>
            </w:r>
            <w:r>
              <w:rPr>
                <w:rStyle w:val="C4"/>
                <w:rFonts w:ascii="Arial" w:hAnsi="Arial"/>
                <w:sz w:val="18"/>
              </w:rPr>
              <w:t>Работы (услуги) по санитарному содержанию придомовой территории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48276,00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1.30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2.3.1  Работы (услуги) по содержанию и техническому обслуживанию внутридомового инженерного оборудования и конструктивных элементов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44692,84</w:t>
            </w:r>
          </w:p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1.60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2.3.2 Материально-техническое обеспечение работ по содержанию общего имущества многоквартирного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1968,00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0.20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3. Разовые работы по текущему и непредвиденному ремонту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20"/>
              </w:rPr>
            </w:pPr>
            <w:r>
              <w:rPr>
                <w:rStyle w:val="C4"/>
                <w:rFonts w:ascii="Arial" w:hAnsi="Arial"/>
                <w:b w:val="1"/>
                <w:sz w:val="20"/>
              </w:rPr>
              <w:t>166738.94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                 3.70</w:t>
            </w:r>
          </w:p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 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3.1 Опрессовка и промывка системы отопления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14500.00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3.2 Укрепление домофоной двери подъезда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3000.00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3.3 Текущий ремонт (электротехнические работы, сварочные, замены труб)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15232.50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3.4</w:t>
            </w:r>
            <w:r>
              <w:rPr>
                <w:rStyle w:val="C4"/>
                <w:sz w:val="28"/>
              </w:rPr>
              <w:t xml:space="preserve"> </w:t>
            </w:r>
            <w:r>
              <w:rPr>
                <w:rStyle w:val="C4"/>
                <w:rFonts w:ascii="Arial" w:hAnsi="Arial"/>
                <w:sz w:val="18"/>
              </w:rPr>
              <w:t>Материалы по текущему ремонту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17578.12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3.5. Ремонт кровли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70060.00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3.6 Дезинфекция подвального помещения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15260.00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3.7 Аварийно ремонтные работы</w:t>
            </w:r>
          </w:p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3000.00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3.8  Ремонт сушилки на придомовой территории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1500.00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3.9 Техническое обслуживание ВДГО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8608.32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3.10  Герметизация межпанельных швов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17500.00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3.11  Ремонт решетки на продух в подвал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500.00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</w:tbl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1" w:vertAnchor="text"/>
        <w:tblOverlap w:val="never"/>
        <w:tblW w:w="5157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4A0"/>
      </w:tblPr>
      <w:tblGrid/>
      <w:tr>
        <w:trPr>
          <w:trHeight w:hRule="atLeast" w:val="288"/>
        </w:trPr>
        <w:tc>
          <w:tcPr>
            <w:tcW w:w="5000" w:type="pct"/>
            <w:gridSpan w:val="4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Направлено претензий потребителям-должникам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pStyle w:val="P1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 xml:space="preserve">           14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Направлено исковых заявлений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pStyle w:val="P1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 xml:space="preserve">            5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904" w:type="pct"/>
          </w:tcPr>
          <w:p>
            <w:pPr>
              <w:pStyle w:val="P1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 xml:space="preserve">      59874.00</w:t>
            </w:r>
          </w:p>
        </w:tc>
      </w:tr>
    </w:tbl>
    <w:p>
      <w:pPr>
        <w:pStyle w:val="P1"/>
        <w:tabs>
          <w:tab w:val="left" w:pos="1399" w:leader="none"/>
        </w:tabs>
        <w:rPr>
          <w:rStyle w:val="C4"/>
          <w:rFonts w:ascii="Arial" w:hAnsi="Arial"/>
          <w:sz w:val="18"/>
        </w:rPr>
      </w:pPr>
    </w:p>
    <w:sectPr>
      <w:type w:val="nextPage"/>
      <w:pgSz w:w="11906" w:h="16838" w:code="9"/>
      <w:pgMar w:left="851" w:right="851" w:top="567" w:bottom="567" w:header="709" w:footer="709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1BE056C"/>
    <w:multiLevelType w:val="hybridMultilevel"/>
    <w:lvl w:ilvl="0">
      <w:start w:val="1"/>
      <w:numFmt w:val="bullet"/>
      <w:suff w:val="tab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1">
    <w:nsid w:val="54DE09D1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"/>
  </w:num>
  <w:num w:numId="2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Обычный1"/>
    <w:qFormat/>
    <w:pPr/>
    <w:rPr>
      <w:rFonts w:ascii="Times New Roman" w:hAnsi="Times New Roman"/>
      <w:sz w:val="24"/>
    </w:rPr>
  </w:style>
  <w:style w:type="paragraph" w:styleId="P2">
    <w:name w:val="ConsPlusCell"/>
    <w:qFormat/>
    <w:pPr/>
    <w:rPr>
      <w:rFonts w:ascii="Times New Roman" w:hAnsi="Times New Roman"/>
      <w:sz w:val="28"/>
    </w:rPr>
  </w:style>
  <w:style w:type="paragraph" w:styleId="P3">
    <w:name w:val="Заголовок 11"/>
    <w:basedOn w:val="P1"/>
    <w:qFormat/>
    <w:pPr>
      <w:spacing w:before="100" w:after="100" w:beforeAutospacing="1" w:afterAutospacing="1"/>
      <w:outlineLvl w:val="0"/>
    </w:pPr>
    <w:rPr>
      <w:b w:val="1"/>
      <w:sz w:val="48"/>
    </w:rPr>
  </w:style>
  <w:style w:type="paragraph" w:styleId="P4">
    <w:name w:val="List Paragraph"/>
    <w:basedOn w:val="P1"/>
    <w:qFormat/>
    <w:pPr>
      <w:ind w:left="720"/>
      <w:contextualSpacing w:val="1"/>
    </w:pPr>
    <w:rPr>
      <w:sz w:val="20"/>
    </w:rPr>
  </w:style>
  <w:style w:type="paragraph" w:styleId="P5">
    <w:name w:val="Верхний колонтитул1"/>
    <w:basedOn w:val="P1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6">
    <w:name w:val="Нижний колонтитул1"/>
    <w:basedOn w:val="P1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7">
    <w:name w:val="Основной текст1"/>
    <w:basedOn w:val="P1"/>
    <w:qFormat/>
    <w:pPr>
      <w:widowControl w:val="0"/>
      <w:shd w:val="clear" w:fill="FFFFFF"/>
      <w:spacing w:lineRule="atLeast" w:line="240" w:before="300" w:after="300" w:beforeAutospacing="0" w:afterAutospacing="0"/>
    </w:pPr>
    <w:rPr>
      <w:b w:val="1"/>
      <w:sz w:val="23"/>
    </w:rPr>
  </w:style>
  <w:style w:type="paragraph" w:styleId="P8">
    <w:name w:val="Текст выноски1"/>
    <w:basedOn w:val="P1"/>
    <w:qFormat/>
    <w:pPr/>
    <w:rPr>
      <w:rFonts w:ascii="Tahoma" w:hAnsi="Tahoma"/>
      <w:sz w:val="16"/>
    </w:rPr>
  </w:style>
  <w:style w:type="paragraph" w:styleId="P9">
    <w:name w:val="Абзац списка1"/>
    <w:basedOn w:val="P1"/>
    <w:qFormat/>
    <w:pPr>
      <w:spacing w:lineRule="auto" w:line="258" w:after="160" w:beforeAutospacing="0" w:afterAutospacing="0"/>
      <w:ind w:left="720"/>
      <w:contextualSpacing w:val="1"/>
    </w:pPr>
    <w:rPr>
      <w:rFonts w:ascii="Calibri" w:hAnsi="Calibri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qFormat/>
    <w:rPr>
      <w:color w:val="0000FF"/>
      <w:u w:val="single"/>
    </w:rPr>
  </w:style>
  <w:style w:type="character" w:styleId="C3">
    <w:name w:val="line number"/>
    <w:basedOn w:val="C0"/>
    <w:semiHidden/>
    <w:qFormat/>
    <w:rPr/>
  </w:style>
  <w:style w:type="character" w:styleId="C4">
    <w:name w:val="Основной шрифт абзаца1"/>
    <w:qFormat/>
    <w:rPr/>
  </w:style>
  <w:style w:type="character" w:styleId="C5">
    <w:name w:val="Выделение1"/>
    <w:qFormat/>
    <w:rPr>
      <w:i w:val="1"/>
    </w:rPr>
  </w:style>
  <w:style w:type="character" w:styleId="C6">
    <w:name w:val="Верхний колонтитул Знак"/>
    <w:qFormat/>
    <w:rPr/>
  </w:style>
  <w:style w:type="character" w:styleId="C7">
    <w:name w:val="Нижний колонтитул Знак"/>
    <w:qFormat/>
    <w:rPr/>
  </w:style>
  <w:style w:type="character" w:styleId="C8">
    <w:name w:val="Заголовок 1 Знак"/>
    <w:qFormat/>
    <w:rPr>
      <w:b w:val="1"/>
      <w:sz w:val="48"/>
    </w:rPr>
  </w:style>
  <w:style w:type="character" w:styleId="C9">
    <w:name w:val="Гиперссылка1"/>
    <w:qFormat/>
    <w:rPr>
      <w:color w:val="0563C1"/>
      <w:u w:val="single"/>
    </w:rPr>
  </w:style>
  <w:style w:type="character" w:styleId="C10">
    <w:name w:val="Основной текст + 9 pt"/>
    <w:qFormat/>
    <w:rPr>
      <w:rFonts w:ascii="Times New Roman" w:hAnsi="Times New Roman"/>
      <w:sz w:val="18"/>
      <w:u w:val="none"/>
    </w:rPr>
  </w:style>
  <w:style w:type="character" w:styleId="C11">
    <w:name w:val="Основной текст Знак"/>
    <w:qFormat/>
    <w:rPr>
      <w:b w:val="1"/>
      <w:sz w:val="23"/>
    </w:rPr>
  </w:style>
  <w:style w:type="character" w:styleId="C12">
    <w:name w:val="Основной текст + 9 pt4"/>
    <w:qFormat/>
    <w:rPr>
      <w:rFonts w:ascii="Times New Roman" w:hAnsi="Times New Roman"/>
      <w:b w:val="1"/>
      <w:sz w:val="18"/>
      <w:u w:val="none"/>
    </w:rPr>
  </w:style>
  <w:style w:type="character" w:styleId="C13">
    <w:name w:val="Основной текст + 9 pt3"/>
    <w:qFormat/>
    <w:rPr>
      <w:rFonts w:ascii="Times New Roman" w:hAnsi="Times New Roman"/>
      <w:sz w:val="18"/>
      <w:u w:val="none"/>
    </w:rPr>
  </w:style>
  <w:style w:type="character" w:styleId="C14">
    <w:name w:val="Основной текст + 9 pt1"/>
    <w:qFormat/>
    <w:rPr/>
  </w:style>
  <w:style w:type="character" w:styleId="C15">
    <w:name w:val="Основной текст + 10"/>
    <w:qFormat/>
    <w:rPr>
      <w:rFonts w:ascii="Times New Roman" w:hAnsi="Times New Roman"/>
      <w:b w:val="1"/>
      <w:sz w:val="21"/>
      <w:u w:val="none"/>
    </w:rPr>
  </w:style>
  <w:style w:type="character" w:styleId="C16">
    <w:name w:val="Основной текст + 9 pt2"/>
    <w:qFormat/>
    <w:rPr/>
  </w:style>
  <w:style w:type="character" w:styleId="C17">
    <w:name w:val="Основной текст (6)"/>
    <w:qFormat/>
    <w:rPr>
      <w:rFonts w:ascii="Times New Roman" w:hAnsi="Times New Roman"/>
      <w:sz w:val="27"/>
      <w:u w:val="single"/>
    </w:rPr>
  </w:style>
  <w:style w:type="character" w:styleId="C18">
    <w:name w:val="Основной текст (5) + Полужирный1"/>
    <w:qFormat/>
    <w:rPr>
      <w:rFonts w:ascii="Times New Roman" w:hAnsi="Times New Roman"/>
      <w:b w:val="1"/>
      <w:i w:val="1"/>
      <w:sz w:val="26"/>
      <w:u w:val="single"/>
    </w:rPr>
  </w:style>
  <w:style w:type="character" w:styleId="C19">
    <w:name w:val="Текст выноски Знак"/>
    <w:qFormat/>
    <w:rPr>
      <w:rFonts w:ascii="Tahoma" w:hAnsi="Tahoma"/>
      <w:sz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qFormat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  <w:tblStylePr w:type="lastRow">
      <w:tblPr/>
      <w:trPr/>
      <w:tcPr>
        <w:tcBorders>
          <w:top w:val="single" w:sz="6" w:space="0" w:shadow="0" w:fram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Row">
      <w:tblPr/>
      <w:trPr/>
      <w:tcPr>
        <w:tcBorders>
          <w:top w:val="nil"/>
          <w:left w:val="single" w:sz="6" w:space="0" w:shadow="0" w:fram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2">
    <w:name w:val="Обычная таблица1"/>
    <w:qFormat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Сетка таблицы1"/>
    <w:basedOn w:val="T2"/>
    <w:qFormat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