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6F01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Красноармейская, дом 25 «А»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6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7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5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580035,50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290017,75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174010,65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116007,10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565442.69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547442.69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    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both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 xml:space="preserve">  18000,00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7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5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Style w:val="C4"/>
                <w:rFonts w:ascii="Arial" w:hAnsi="Arial"/>
                <w:color w:val="000000"/>
                <w:sz w:val="20"/>
              </w:rPr>
              <w:t>426501.24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134698,10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113820,24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7560,29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0.15           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13317,57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269800.76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4.40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ind w:hanging="0" w:left="0"/>
              <w:jc w:val="both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     44505.00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18"/>
              </w:rPr>
              <w:t>77739,73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</w:p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147556,03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2.3.2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166871.05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                 3.70</w:t>
            </w:r>
          </w:p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14500.00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3.2 Ремонт ограждения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2800.00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3.3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4942.50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3.4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Материалы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25197.97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3.5. Ремонт кровли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75840.00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3.6 Сварочные работы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1800.00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3.7 Услуги видеонаблюдения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15000.00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3.8  Укрепление лавочки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3.9 Техническое обслуживание ВДГО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7490.58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3.10  Изготовление и монтаж москитных сеток на пластиковые окна в подъездах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16800.00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           18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           14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 xml:space="preserve">      112358.54 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qFormat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qFormat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line number"/>
    <w:basedOn w:val="C0"/>
    <w:semiHidden/>
    <w:qFormat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qFormat/>
    <w:rPr/>
  </w:style>
  <w:style w:type="character" w:styleId="C7">
    <w:name w:val="Нижний колонтитул Знак"/>
    <w:qFormat/>
    <w:rPr/>
  </w:style>
  <w:style w:type="character" w:styleId="C8">
    <w:name w:val="Заголовок 1 Знак"/>
    <w:qFormat/>
    <w:rPr>
      <w:b w:val="1"/>
      <w:sz w:val="48"/>
    </w:rPr>
  </w:style>
  <w:style w:type="character" w:styleId="C9">
    <w:name w:val="Гиперссылка1"/>
    <w:qFormat/>
    <w:rPr>
      <w:color w:val="0563C1"/>
      <w:u w:val="single"/>
    </w:rPr>
  </w:style>
  <w:style w:type="character" w:styleId="C10">
    <w:name w:val="Основной текст + 9 pt"/>
    <w:qFormat/>
    <w:rPr>
      <w:rFonts w:ascii="Times New Roman" w:hAnsi="Times New Roman"/>
      <w:sz w:val="18"/>
      <w:u w:val="none"/>
    </w:rPr>
  </w:style>
  <w:style w:type="character" w:styleId="C11">
    <w:name w:val="Основной текст Знак"/>
    <w:qFormat/>
    <w:rPr>
      <w:b w:val="1"/>
      <w:sz w:val="23"/>
    </w:rPr>
  </w:style>
  <w:style w:type="character" w:styleId="C12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4">
    <w:name w:val="Основной текст + 9 pt1"/>
    <w:qFormat/>
    <w:rPr/>
  </w:style>
  <w:style w:type="character" w:styleId="C15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qFormat/>
    <w:rPr/>
  </w:style>
  <w:style w:type="character" w:styleId="C17">
    <w:name w:val="Основной текст (6)"/>
    <w:qFormat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qFormat/>
    <w:rPr>
      <w:rFonts w:ascii="Tahoma" w:hAnsi="Tahoma"/>
      <w:sz w:val="16"/>
    </w:rPr>
  </w:style>
  <w:style w:type="character" w:styleId="C20">
    <w:name w:val="Основной шрифт абзаца"/>
    <w:rPr/>
  </w:style>
  <w:style w:type="table" w:styleId="T0" w:default="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