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24A70D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Нариманова, дом 2 «Б»</w:t>
      </w:r>
    </w:p>
    <w:tbl>
      <w:tblPr>
        <w:tblStyle w:val="T2"/>
        <w:tblpPr w:leftFromText="180" w:rightFromText="180" w:tblpX="1" w:tblpY="116" w:horzAnchor="margin" w:vertAnchor="text"/>
        <w:tblOverlap w:val="never"/>
        <w:tblW w:w="4946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506167,20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2"/>
              </w:rPr>
              <w:t xml:space="preserve">  </w:t>
            </w:r>
            <w:r>
              <w:rPr>
                <w:rStyle w:val="C4"/>
                <w:rFonts w:ascii="Arial" w:hAnsi="Arial"/>
                <w:color w:val="000000"/>
                <w:sz w:val="20"/>
              </w:rPr>
              <w:t>253083,60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151850,16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101233,44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461038.72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446038.72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tabs>
                <w:tab w:val="left" w:pos="315" w:leader="none"/>
                <w:tab w:val="center" w:pos="549" w:leader="none"/>
              </w:tabs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ab/>
              <w:tab/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15000,00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Авансовые платежи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0.00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376031,53</w:t>
            </w:r>
            <w:bookmarkStart w:id="0" w:name="_GoBack"/>
            <w:bookmarkEnd w:id="0"/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b w:val="1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983"/>
        </w:trPr>
        <w:tc>
          <w:tcPr>
            <w:tcW w:w="3652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107948,33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91727,34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5521,13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0.15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10699,86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rFonts w:ascii="Arial" w:hAnsi="Arial"/>
                <w:sz w:val="18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  <w:r>
              <w:rPr>
                <w:rStyle w:val="C4"/>
                <w:rFonts w:ascii="Arial" w:hAnsi="Arial"/>
                <w:color w:val="000000"/>
                <w:sz w:val="20"/>
              </w:rPr>
              <w:t>137101.90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20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29670,00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63480,00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2.3.1 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43312,10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1.40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639.90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0.20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290362.47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tabs>
                <w:tab w:val="center" w:pos="634" w:leader="none"/>
                <w:tab w:val="right" w:pos="1268" w:leader="none"/>
              </w:tabs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4.70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3.2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 xml:space="preserve">Частичный ремонт аварийных участков кровли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56580.00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sz w:val="2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Вывоз крупногабаритного мусора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3.4 Работы по замене стояков и сварочные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2300.00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3.56 Электротехнические работы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5909.50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3.6 Материалы для выполнения работ по текущему ремонту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69063.79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Техническое обслуживание ВДГО (внутридомовое газовое оборудование –сетей)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6715.11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3.8 Усулги видеонаблюдения 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652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3.9 Работы по прокладки и подключению новой проводки во всем доме с учетом установки боксов, автоматов и т.д)</w:t>
            </w:r>
          </w:p>
        </w:tc>
        <w:tc>
          <w:tcPr>
            <w:tcW w:w="1808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127094.07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20"/>
        </w:rPr>
      </w:pPr>
    </w:p>
    <w:p>
      <w:pPr>
        <w:pStyle w:val="P1"/>
        <w:rPr>
          <w:rStyle w:val="C4"/>
          <w:rFonts w:ascii="Arial" w:hAnsi="Arial"/>
          <w:b w:val="1"/>
          <w:sz w:val="20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</w:t>
            </w:r>
          </w:p>
        </w:tc>
      </w:tr>
      <w:tr>
        <w:tblPrEx>
          <w:tblBorders>
            <w:top w:val="single" w:sz="4" w:space="0" w:shadow="0" w:frame="0" w:color="auto"/>
            <w:left w:val="single" w:sz="4" w:space="0" w:shadow="0" w:frame="0" w:color="auto"/>
            <w:bottom w:val="single" w:sz="4" w:space="0" w:shadow="0" w:frame="0" w:color="auto"/>
            <w:right w:val="single" w:sz="4" w:space="0" w:shadow="0" w:frame="0" w:color="auto"/>
            <w:insideH w:val="single" w:sz="4" w:space="0" w:shadow="0" w:frame="0" w:color="auto"/>
            <w:insideV w:val="single" w:sz="4" w:space="0" w:shadow="0" w:fram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29000.00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  <w:sectPr>
          <w:type w:val="nextPage"/>
          <w:pgSz w:w="11906" w:h="16838" w:code="9"/>
          <w:pgMar w:left="1418" w:right="567" w:top="567" w:bottom="567" w:header="709" w:footer="709" w:gutter="0"/>
          <w:cols w:equalWidth="1" w:space="720"/>
        </w:sectPr>
      </w:pPr>
    </w:p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>
      <w:rFonts w:ascii="Calibri" w:hAnsi="Calibri"/>
    </w:rPr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Основной шрифт абзаца1"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rPr>
      <w:b w:val="1"/>
      <w:sz w:val="48"/>
    </w:rPr>
  </w:style>
  <w:style w:type="character" w:styleId="C9">
    <w:name w:val="Гиперссылка1"/>
    <w:rPr>
      <w:color w:val="0563C1"/>
      <w:u w:val="single"/>
    </w:rPr>
  </w:style>
  <w:style w:type="character" w:styleId="C10">
    <w:name w:val="Основной текст + 9 pt"/>
    <w:rPr>
      <w:rFonts w:ascii="Times New Roman" w:hAnsi="Times New Roman"/>
      <w:sz w:val="18"/>
      <w:u w:val="none"/>
    </w:rPr>
  </w:style>
  <w:style w:type="character" w:styleId="C11">
    <w:name w:val="Основной текст Знак"/>
    <w:rPr>
      <w:b w:val="1"/>
      <w:sz w:val="23"/>
    </w:rPr>
  </w:style>
  <w:style w:type="character" w:styleId="C12">
    <w:name w:val="Основной текст + 9 pt4"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rPr>
      <w:rFonts w:ascii="Times New Roman" w:hAnsi="Times New Roman"/>
      <w:sz w:val="18"/>
      <w:u w:val="none"/>
    </w:rPr>
  </w:style>
  <w:style w:type="character" w:styleId="C14">
    <w:name w:val="Основной текст + 9 pt1"/>
    <w:rPr/>
  </w:style>
  <w:style w:type="character" w:styleId="C15">
    <w:name w:val="Основной текст + 10"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rPr/>
  </w:style>
  <w:style w:type="character" w:styleId="C17">
    <w:name w:val="Основной текст (6)"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rPr>
      <w:rFonts w:ascii="Tahoma" w:hAnsi="Tahoma"/>
      <w:sz w:val="16"/>
    </w:rPr>
  </w:style>
  <w:style w:type="table" w:styleId="T0" w:default="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