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4045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Ботвина, дом 20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2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8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567264.00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249638.40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153091.20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164534.40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2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568951.05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557551.05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11400,00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48,54</w:t>
            </w:r>
            <w:bookmarkStart w:id="0" w:name="_GoBack"/>
            <w:bookmarkEnd w:id="0"/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2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8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350162,53</w:t>
            </w:r>
          </w:p>
        </w:tc>
      </w:tr>
    </w:tbl>
    <w:p>
      <w:pPr>
        <w:pStyle w:val="P1"/>
        <w:rPr>
          <w:rStyle w:val="C4"/>
          <w:rFonts w:ascii="Arial" w:hAnsi="Arial"/>
          <w:sz w:val="22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145160.50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123284,46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7445,94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14430,10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211772.23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74175,00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50715.00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86882,23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68556.30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Услуги видеонаблюдения с установкой камер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20"/>
              </w:rPr>
              <w:t>Спил аварийных веток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6729.08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19748.65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3.6. Техническое обслуживание ВДГО (внутридомовое газовое оборудование-сети)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10028.57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Аварийные ремонтные 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Работы по восстановлению решетки и воздухоотвода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57600.00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