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24AEBB1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48230,51Форма 2.8. Отчет об исполнении управляющей организацией договора управления.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ООО «НовоГрад»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по ул. Нариманова, дом 2 В</w:t>
      </w:r>
    </w:p>
    <w:tbl>
      <w:tblPr>
        <w:tblStyle w:val="T2"/>
        <w:tblpPr w:leftFromText="180" w:rightFromText="180" w:tblpX="1" w:tblpY="116" w:horzAnchor="margin" w:vertAnchor="text"/>
        <w:tblOverlap w:val="never"/>
        <w:tblW w:w="4946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№ п/п</w:t>
            </w:r>
          </w:p>
        </w:tc>
        <w:tc>
          <w:tcPr>
            <w:tcW w:w="3397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Наименование параметра</w:t>
            </w:r>
          </w:p>
        </w:tc>
        <w:tc>
          <w:tcPr>
            <w:tcW w:w="654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Ед. изм.</w:t>
            </w:r>
          </w:p>
        </w:tc>
        <w:tc>
          <w:tcPr>
            <w:tcW w:w="655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Значение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заполнения/внесения изменений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начала отчетного периода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01.01.2022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конца отчетного периода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31.12.2022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Общая информация об оказании услуг (выполнении работ) по содержанию и текущему ремонту общего имущества 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512235.60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содержание дома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 xml:space="preserve">  256117.80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текущий ремонт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153670.68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за услуги управления 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102447.12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Получено денежных средств, в т. ч: </w:t>
            </w:r>
          </w:p>
        </w:tc>
        <w:tc>
          <w:tcPr>
            <w:tcW w:w="654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438725.32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денежных средств от потребителей 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436325.32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целевых взносов от потребителей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субсидий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tabs>
                <w:tab w:val="left" w:pos="315" w:leader="none"/>
                <w:tab w:val="center" w:pos="549" w:leader="none"/>
              </w:tabs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ab/>
              <w:tab/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денежных средств от использования общего имущества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2400,00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прочие поступления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Авансовые платежи потребителей (на конец периода)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7" w:type="pct"/>
            <w:vAlign w:val="bottom"/>
          </w:tcPr>
          <w:p>
            <w:pPr>
              <w:pStyle w:val="P1"/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Задолженность потребителей (на конец периода)</w:t>
            </w:r>
          </w:p>
        </w:tc>
        <w:tc>
          <w:tcPr>
            <w:tcW w:w="65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5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bookmarkStart w:id="0" w:name="_GoBack"/>
            <w:bookmarkEnd w:id="0"/>
            <w:r>
              <w:rPr>
                <w:rStyle w:val="C4"/>
                <w:rFonts w:ascii="Arial" w:hAnsi="Arial"/>
                <w:color w:val="000000"/>
                <w:sz w:val="20"/>
              </w:rPr>
              <w:t>147531.18</w:t>
            </w:r>
          </w:p>
        </w:tc>
      </w:tr>
    </w:tbl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Выполненные работы (оказанные услуги) по содержанию общего имущества и текущему ремонту в отчётном периоде (заполняется по каждому виду работы (услуги))</w:t>
      </w:r>
    </w:p>
    <w:tbl>
      <w:tblPr>
        <w:tblStyle w:val="T2"/>
        <w:tblpPr w:leftFromText="180" w:rightFromText="180" w:tblpX="1" w:tblpY="5" w:horzAnchor="margin" w:vertAnchor="text"/>
        <w:tblW w:w="0" w:type="auto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25"/>
        </w:trPr>
        <w:tc>
          <w:tcPr>
            <w:tcW w:w="3652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Наименование работ (услуг)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Годовая фактическая стоимость работ (услуг)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Периодичность выполнения работ (оказания услуг)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Единица измерения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Стоимость на единицу измерения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1. Работы (услуги) по управлению многоквартирным домом ( в том числе материально техническое обеспечение, средства оплаченные за расчетно-кассовое обслуживание и направленные на оплату налога по УСН)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102071,22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2.70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1.1 Работы (услуги) по управлению многоквартирным домом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86693,52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Ежедневно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2.25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1.2. Оплачено за рассчетно-кассовое обслуживание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5234,10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0.15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1.3 Средства направленные на оплату налога по УСН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10143,60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0.30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2. Работы (услуги) по содержанию общего имущества многоквартирного дома (в том числе </w:t>
            </w:r>
            <w:r>
              <w:rPr>
                <w:rStyle w:val="C4"/>
                <w:rFonts w:ascii="Arial" w:hAnsi="Arial"/>
                <w:sz w:val="18"/>
              </w:rPr>
              <w:t xml:space="preserve"> </w:t>
            </w:r>
            <w:r>
              <w:rPr>
                <w:rStyle w:val="C4"/>
                <w:rFonts w:ascii="Arial" w:hAnsi="Arial"/>
                <w:b w:val="1"/>
                <w:sz w:val="18"/>
              </w:rPr>
              <w:t>затраты на материально-техническое обеспечение работ производственного персонала)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198086.07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6.00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2.1 Работы (услуги) по санитарному содержанию мест общего пользования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89700,00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1.90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2.2</w:t>
            </w:r>
            <w:r>
              <w:t xml:space="preserve"> </w:t>
            </w:r>
            <w:r>
              <w:rPr>
                <w:rStyle w:val="C4"/>
                <w:rFonts w:ascii="Arial" w:hAnsi="Arial"/>
                <w:sz w:val="18"/>
              </w:rPr>
              <w:t>Работы (услуги) по санитарному содержанию придомовой территории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61680,00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1.90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2.3.1  Работы (услуги) по содержанию и техническому обслуживанию внутридомового инженерного оборудования и конструктивных элементов дома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46652,12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1.90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2.3.2 Материально-техническое обеспечение работ по содержанию общего имущества многоквартирного дома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53.95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0.30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3. Разовые работы по текущему и непредвиденному ремонту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20"/>
              </w:rPr>
            </w:pPr>
            <w:r>
              <w:rPr>
                <w:rStyle w:val="C4"/>
                <w:rFonts w:ascii="Arial" w:hAnsi="Arial"/>
                <w:b w:val="1"/>
                <w:sz w:val="20"/>
              </w:rPr>
              <w:t>89881.05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tabs>
                <w:tab w:val="center" w:pos="634" w:leader="none"/>
                <w:tab w:val="right" w:pos="1268" w:leader="none"/>
              </w:tabs>
              <w:jc w:val="right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4.10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3.1 Опрессовка и промывка системы отопления дома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18"/>
              </w:rPr>
              <w:t>12500.00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sz w:val="2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3.3 Сдача отчетности по показаниям ОДПУ 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7000.00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3.4 Сварочные работы (укрепление урн и лавочек)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18"/>
              </w:rPr>
              <w:t>6300.00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3.5 Электротехнические работы 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6326.00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3.6 Материалы для выполнения работ по текущему ремонту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18"/>
              </w:rPr>
              <w:t>7915.05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375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3.7 Ремонт кровли 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11340.00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375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3.8 Техническое обслуживание ВДГО 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5588.00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375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3.9 Поверка ОДПУ тепловой энергии 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29212.00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375"/>
        </w:trPr>
        <w:tc>
          <w:tcPr>
            <w:tcW w:w="3652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3.10 Дезинфекция подвального помещения </w:t>
            </w:r>
          </w:p>
        </w:tc>
        <w:tc>
          <w:tcPr>
            <w:tcW w:w="1808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3700.00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</w:tbl>
    <w:p>
      <w:pPr>
        <w:pStyle w:val="P1"/>
        <w:rPr>
          <w:rStyle w:val="C4"/>
          <w:rFonts w:ascii="Arial" w:hAnsi="Arial"/>
          <w:sz w:val="20"/>
        </w:rPr>
      </w:pPr>
    </w:p>
    <w:p>
      <w:pPr>
        <w:pStyle w:val="P1"/>
        <w:rPr>
          <w:rStyle w:val="C4"/>
          <w:rFonts w:ascii="Arial" w:hAnsi="Arial"/>
          <w:b w:val="1"/>
          <w:sz w:val="20"/>
        </w:rPr>
      </w:pPr>
    </w:p>
    <w:tbl>
      <w:tblPr>
        <w:tblStyle w:val="T2"/>
        <w:tblpPr w:leftFromText="180" w:rightFromText="180" w:tblpX="1" w:tblpY="1" w:vertAnchor="text"/>
        <w:tblOverlap w:val="never"/>
        <w:tblW w:w="5157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Информация о ведении претензионно-исковой работы в отношении потребителей-должников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претензий потребителям-должникам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исковых заявлений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7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Получено денежных средств по результатам претензионно-исковой работы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58000.00</w:t>
            </w:r>
          </w:p>
        </w:tc>
      </w:tr>
    </w:tbl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  <w:sectPr>
          <w:type w:val="nextPage"/>
          <w:pgSz w:w="11906" w:h="16838" w:code="9"/>
          <w:pgMar w:left="1418" w:right="567" w:top="567" w:bottom="567" w:header="709" w:footer="709" w:gutter="0"/>
          <w:cols w:equalWidth="1" w:space="720"/>
        </w:sectPr>
      </w:pPr>
    </w:p>
    <w:p>
      <w:pPr>
        <w:pStyle w:val="P1"/>
        <w:tabs>
          <w:tab w:val="left" w:pos="1399" w:leader="none"/>
        </w:tabs>
        <w:rPr>
          <w:rStyle w:val="C4"/>
          <w:rFonts w:ascii="Arial" w:hAnsi="Arial"/>
          <w:sz w:val="18"/>
        </w:rPr>
      </w:pPr>
    </w:p>
    <w:sectPr>
      <w:type w:val="nextPage"/>
      <w:pgSz w:w="11906" w:h="16838" w:code="9"/>
      <w:pgMar w:left="851" w:right="851" w:top="567" w:bottom="567" w:header="709" w:footer="709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BE056C"/>
    <w:multiLevelType w:val="hybridMultilevel"/>
    <w:lvl w:ilvl="0">
      <w:start w:val="1"/>
      <w:numFmt w:val="bullet"/>
      <w:suff w:val="tab"/>
      <w:lvlText w:val=""/>
      <w:lvlJc w:val="left"/>
      <w:pPr>
        <w:ind w:hanging="360" w:left="720"/>
      </w:pPr>
      <w:rPr>
        <w:rFonts w:ascii="Symbol" w:hAnsi="Symbol"/>
      </w:rPr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">
    <w:nsid w:val="54DE09D1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"/>
  </w:num>
  <w:num w:numId="2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>
      <w:rFonts w:ascii="Calibri" w:hAnsi="Calibri"/>
    </w:rPr>
  </w:style>
  <w:style w:type="paragraph" w:styleId="P1">
    <w:name w:val="Обычный1"/>
    <w:qFormat/>
    <w:pPr/>
    <w:rPr>
      <w:rFonts w:ascii="Times New Roman" w:hAnsi="Times New Roman"/>
      <w:sz w:val="24"/>
    </w:rPr>
  </w:style>
  <w:style w:type="paragraph" w:styleId="P2">
    <w:name w:val="ConsPlusCell"/>
    <w:qFormat/>
    <w:pPr/>
    <w:rPr>
      <w:rFonts w:ascii="Times New Roman" w:hAnsi="Times New Roman"/>
      <w:sz w:val="28"/>
    </w:rPr>
  </w:style>
  <w:style w:type="paragraph" w:styleId="P3">
    <w:name w:val="Заголовок 11"/>
    <w:basedOn w:val="P1"/>
    <w:qFormat/>
    <w:pPr>
      <w:spacing w:before="100" w:after="100" w:beforeAutospacing="1" w:afterAutospacing="1"/>
      <w:outlineLvl w:val="0"/>
    </w:pPr>
    <w:rPr>
      <w:b w:val="1"/>
      <w:sz w:val="48"/>
    </w:rPr>
  </w:style>
  <w:style w:type="paragraph" w:styleId="P4">
    <w:name w:val="List Paragraph"/>
    <w:basedOn w:val="P1"/>
    <w:qFormat/>
    <w:pPr>
      <w:ind w:left="720"/>
      <w:contextualSpacing w:val="1"/>
    </w:pPr>
    <w:rPr>
      <w:sz w:val="20"/>
    </w:rPr>
  </w:style>
  <w:style w:type="paragraph" w:styleId="P5">
    <w:name w:val="Верхний колонтитул1"/>
    <w:basedOn w:val="P1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6">
    <w:name w:val="Нижний колонтитул1"/>
    <w:basedOn w:val="P1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7">
    <w:name w:val="Основной текст1"/>
    <w:basedOn w:val="P1"/>
    <w:qFormat/>
    <w:pPr>
      <w:widowControl w:val="0"/>
      <w:shd w:val="clear" w:fill="FFFFFF"/>
      <w:spacing w:lineRule="atLeast" w:line="240" w:before="300" w:after="300" w:beforeAutospacing="0" w:afterAutospacing="0"/>
    </w:pPr>
    <w:rPr>
      <w:b w:val="1"/>
      <w:sz w:val="23"/>
    </w:rPr>
  </w:style>
  <w:style w:type="paragraph" w:styleId="P8">
    <w:name w:val="Текст выноски1"/>
    <w:basedOn w:val="P1"/>
    <w:qFormat/>
    <w:pPr/>
    <w:rPr>
      <w:rFonts w:ascii="Tahoma" w:hAnsi="Tahoma"/>
      <w:sz w:val="16"/>
    </w:rPr>
  </w:style>
  <w:style w:type="paragraph" w:styleId="P9">
    <w:name w:val="Абзац списка1"/>
    <w:basedOn w:val="P1"/>
    <w:qFormat/>
    <w:pPr>
      <w:spacing w:lineRule="auto" w:line="258" w:after="160" w:beforeAutospacing="0" w:afterAutospacing="0"/>
      <w:ind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line number"/>
    <w:basedOn w:val="C0"/>
    <w:semiHidden/>
    <w:rPr/>
  </w:style>
  <w:style w:type="character" w:styleId="C4">
    <w:name w:val="Основной шрифт абзаца1"/>
    <w:qFormat/>
    <w:rPr/>
  </w:style>
  <w:style w:type="character" w:styleId="C5">
    <w:name w:val="Выделение1"/>
    <w:qFormat/>
    <w:rPr>
      <w:i w:val="1"/>
    </w:rPr>
  </w:style>
  <w:style w:type="character" w:styleId="C6">
    <w:name w:val="Верхний колонтитул Знак"/>
    <w:qFormat/>
    <w:rPr/>
  </w:style>
  <w:style w:type="character" w:styleId="C7">
    <w:name w:val="Нижний колонтитул Знак"/>
    <w:qFormat/>
    <w:rPr/>
  </w:style>
  <w:style w:type="character" w:styleId="C8">
    <w:name w:val="Заголовок 1 Знак"/>
    <w:qFormat/>
    <w:rPr>
      <w:b w:val="1"/>
      <w:sz w:val="48"/>
    </w:rPr>
  </w:style>
  <w:style w:type="character" w:styleId="C9">
    <w:name w:val="Гиперссылка1"/>
    <w:qFormat/>
    <w:rPr>
      <w:color w:val="0563C1"/>
      <w:u w:val="single"/>
    </w:rPr>
  </w:style>
  <w:style w:type="character" w:styleId="C10">
    <w:name w:val="Основной текст + 9 pt"/>
    <w:qFormat/>
    <w:rPr>
      <w:rFonts w:ascii="Times New Roman" w:hAnsi="Times New Roman"/>
      <w:sz w:val="18"/>
      <w:u w:val="none"/>
    </w:rPr>
  </w:style>
  <w:style w:type="character" w:styleId="C11">
    <w:name w:val="Основной текст Знак"/>
    <w:qFormat/>
    <w:rPr>
      <w:b w:val="1"/>
      <w:sz w:val="23"/>
    </w:rPr>
  </w:style>
  <w:style w:type="character" w:styleId="C12">
    <w:name w:val="Основной текст + 9 pt4"/>
    <w:qFormat/>
    <w:rPr>
      <w:rFonts w:ascii="Times New Roman" w:hAnsi="Times New Roman"/>
      <w:b w:val="1"/>
      <w:sz w:val="18"/>
      <w:u w:val="none"/>
    </w:rPr>
  </w:style>
  <w:style w:type="character" w:styleId="C13">
    <w:name w:val="Основной текст + 9 pt3"/>
    <w:qFormat/>
    <w:rPr>
      <w:rFonts w:ascii="Times New Roman" w:hAnsi="Times New Roman"/>
      <w:sz w:val="18"/>
      <w:u w:val="none"/>
    </w:rPr>
  </w:style>
  <w:style w:type="character" w:styleId="C14">
    <w:name w:val="Основной текст + 9 pt1"/>
    <w:qFormat/>
    <w:rPr/>
  </w:style>
  <w:style w:type="character" w:styleId="C15">
    <w:name w:val="Основной текст + 10"/>
    <w:qFormat/>
    <w:rPr>
      <w:rFonts w:ascii="Times New Roman" w:hAnsi="Times New Roman"/>
      <w:b w:val="1"/>
      <w:sz w:val="21"/>
      <w:u w:val="none"/>
    </w:rPr>
  </w:style>
  <w:style w:type="character" w:styleId="C16">
    <w:name w:val="Основной текст + 9 pt2"/>
    <w:qFormat/>
    <w:rPr/>
  </w:style>
  <w:style w:type="character" w:styleId="C17">
    <w:name w:val="Основной текст (6)"/>
    <w:qFormat/>
    <w:rPr>
      <w:rFonts w:ascii="Times New Roman" w:hAnsi="Times New Roman"/>
      <w:sz w:val="27"/>
      <w:u w:val="single"/>
    </w:rPr>
  </w:style>
  <w:style w:type="character" w:styleId="C18">
    <w:name w:val="Основной текст (5) + Полужирный1"/>
    <w:rPr>
      <w:rFonts w:ascii="Times New Roman" w:hAnsi="Times New Roman"/>
      <w:b w:val="1"/>
      <w:i w:val="1"/>
      <w:sz w:val="26"/>
      <w:u w:val="single"/>
    </w:rPr>
  </w:style>
  <w:style w:type="character" w:styleId="C19">
    <w:name w:val="Текст выноски Знак"/>
    <w:rPr>
      <w:rFonts w:ascii="Tahoma" w:hAnsi="Tahoma"/>
      <w:sz w:val="16"/>
    </w:rPr>
  </w:style>
  <w:style w:type="table" w:styleId="T0" w:default="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qFormat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  <w:tblStylePr w:type="lastRow">
      <w:tblPr/>
      <w:trPr/>
      <w:tcPr>
        <w:tcBorders>
          <w:top w:val="single" w:sz="6" w:space="0" w:shadow="0" w:fram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Row">
      <w:tblPr/>
      <w:trPr/>
      <w:tcPr>
        <w:tcBorders>
          <w:top w:val="nil"/>
          <w:left w:val="single" w:sz="6" w:space="0" w:shadow="0" w:fram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2">
    <w:name w:val="Обычная таблица1"/>
    <w:qFormat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Сетка таблицы1"/>
    <w:basedOn w:val="T2"/>
    <w:qFormat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