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8404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Маркина, дом 48/2 А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756149,40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377816,40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226844,82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151488,18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688035.88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674835.88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4489,76</w:t>
            </w:r>
            <w:bookmarkStart w:id="0" w:name="_GoBack"/>
            <w:bookmarkEnd w:id="0"/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723625.51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161338,39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137031,69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8273,26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16033,44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207118.69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67225,00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71760,0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68133,69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159993.92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3.2 Аварийные ремонтные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Частичный ремонт крыши (кровельного покрытия)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44590.00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3.4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9472.00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37747.88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3.6. Изготовление и установка ограждения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3.7 Техническое обслуживание ВДГО (внутридомовое газовое оборудование-сети)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9834.04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 Сварочные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3.9 Спил аварийных веток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3.10 Замена стояков канализации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3.11 Уборка и вывоз крупногабаритного мусора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5850.00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57400.00</w:t>
            </w:r>
          </w:p>
        </w:tc>
      </w:tr>
    </w:tbl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character" w:styleId="C18">
    <w:name w:val="Основной шрифт абзаца"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