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195877F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Форма 2.8. Отчет об исполнении управляющей организацией договора управления.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ООО «НовоГрад»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по ул. Нариманова, дом 1 «А»</w:t>
      </w:r>
    </w:p>
    <w:p>
      <w:pPr>
        <w:pStyle w:val="P1"/>
        <w:jc w:val="both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1" w:vertAnchor="text"/>
        <w:tblOverlap w:val="never"/>
        <w:tblW w:w="4946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Look w:val="04A0"/>
      </w:tblPr>
      <w:tblGrid/>
      <w:tr>
        <w:trPr>
          <w:trHeight w:hRule="atLeast" w:val="288"/>
        </w:trPr>
        <w:tc>
          <w:tcPr>
            <w:tcW w:w="294" w:type="pct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№ п/п</w:t>
            </w:r>
          </w:p>
        </w:tc>
        <w:tc>
          <w:tcPr>
            <w:tcW w:w="3397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Наименование параметра</w:t>
            </w:r>
          </w:p>
        </w:tc>
        <w:tc>
          <w:tcPr>
            <w:tcW w:w="654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Ед. изм.</w:t>
            </w:r>
          </w:p>
        </w:tc>
        <w:tc>
          <w:tcPr>
            <w:tcW w:w="655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Значение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заполнения/внесения изменений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начала отчетного периода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01.01.2023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конца отчетного периода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31.12.2023</w:t>
            </w:r>
          </w:p>
        </w:tc>
      </w:tr>
      <w:tr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Общая информация об оказании услуг (выполнении работ) по содержанию и текущему ремонту общего имущества 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0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0"/>
                <w:color w:val="000000"/>
                <w:sz w:val="18"/>
              </w:rPr>
              <w:t>623000,40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содержание дома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0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0"/>
                <w:color w:val="000000"/>
                <w:sz w:val="18"/>
              </w:rPr>
              <w:t>280350,00</w:t>
            </w:r>
          </w:p>
        </w:tc>
      </w:tr>
      <w:tr>
        <w:trPr>
          <w:trHeight w:hRule="atLeast" w:val="259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текущий ремонт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0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0"/>
                <w:color w:val="000000"/>
                <w:sz w:val="18"/>
              </w:rPr>
              <w:t>186900,00</w:t>
            </w:r>
          </w:p>
        </w:tc>
      </w:tr>
      <w:tr>
        <w:trPr>
          <w:trHeight w:hRule="atLeast" w:val="249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за услуги управления 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0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0"/>
                <w:color w:val="000000"/>
                <w:sz w:val="18"/>
              </w:rPr>
              <w:t>155750,40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Получено денежных средств, в т. ч: 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0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0"/>
                <w:color w:val="000000"/>
                <w:sz w:val="18"/>
              </w:rPr>
              <w:t>607366.91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денежных средств от потребителей 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0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0"/>
                <w:color w:val="000000"/>
                <w:sz w:val="18"/>
              </w:rPr>
              <w:t>598366,91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целевых взносов от потребителей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субсидий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денежных средств от использования общего имущества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9000.00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прочие поступления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Всего денежных средств 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607366.91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Задолженность потребителей (на конец периода)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779928,39</w:t>
            </w:r>
          </w:p>
        </w:tc>
      </w:tr>
    </w:tbl>
    <w:p>
      <w:pPr>
        <w:pStyle w:val="P1"/>
        <w:rPr>
          <w:rStyle w:val="C4"/>
          <w:rFonts w:ascii="Arial" w:hAnsi="Arial"/>
          <w:b w:val="1"/>
          <w:sz w:val="18"/>
        </w:rPr>
      </w:pPr>
    </w:p>
    <w:p>
      <w:pPr>
        <w:pStyle w:val="P1"/>
        <w:rPr>
          <w:rStyle w:val="C4"/>
          <w:rFonts w:ascii="Arial" w:hAnsi="Arial"/>
          <w:b w:val="1"/>
          <w:sz w:val="18"/>
        </w:rPr>
      </w:pPr>
    </w:p>
    <w:p>
      <w:pPr>
        <w:pStyle w:val="P1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Выполненные работы (оказанные услуги) по содержанию общего имущества и текущему ремонту в отчётном периоде (заполняется по каждому виду работы (услуги))</w:t>
      </w:r>
    </w:p>
    <w:p>
      <w:pPr>
        <w:pStyle w:val="P1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5" w:horzAnchor="margin" w:vertAnchor="text"/>
        <w:tblW w:w="0" w:type="auto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ook w:val="04A0"/>
      </w:tblPr>
      <w:tblGrid/>
      <w:tr>
        <w:trPr>
          <w:trHeight w:hRule="atLeast" w:val="425"/>
        </w:trPr>
        <w:tc>
          <w:tcPr>
            <w:tcW w:w="3787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Наименование работ (услуг)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Годовая фактическая стоимость работ (услуг)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Периодичность выполнения работ (оказания услуг)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Единица измерения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Стоимость на единицу измерения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1.Работы (услуги) по управлению многоквартирным домом ( в том числе материально техническое обеспечение, средства оплаченные за расчетно-кассовое обслуживание и направленные на оплату налога по УСН)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132706,16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2.70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1.1 Работы (услуги) по управлению многоквартирным домом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112422.00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Ежедневно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2.25</w:t>
            </w:r>
          </w:p>
        </w:tc>
      </w:tr>
      <w:tr>
        <w:trPr>
          <w:trHeight w:hRule="atLeast" w:val="480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1.2. Оплачено за рассчетно-кассовое обслуживание</w:t>
            </w:r>
          </w:p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5443,16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0.15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1.3 Средства направленные на оплату налога по УСН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14841.00</w:t>
            </w:r>
          </w:p>
        </w:tc>
        <w:tc>
          <w:tcPr>
            <w:tcW w:w="1949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   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0,30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2. Работы (услуги) по содержанию общего имущества многоквартирного дома (в том числе </w:t>
            </w:r>
            <w:r>
              <w:rPr>
                <w:rStyle w:val="C4"/>
                <w:sz w:val="20"/>
              </w:rPr>
              <w:t xml:space="preserve"> </w:t>
            </w:r>
            <w:r>
              <w:rPr>
                <w:rStyle w:val="C4"/>
                <w:rFonts w:ascii="Arial" w:hAnsi="Arial"/>
                <w:b w:val="1"/>
                <w:sz w:val="18"/>
              </w:rPr>
              <w:t>затраты на материально-техническое обеспечение работ производственного персонала)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145609,31</w:t>
            </w:r>
          </w:p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bookmarkStart w:id="0" w:name="_GoBack"/>
            <w:bookmarkEnd w:id="0"/>
          </w:p>
        </w:tc>
        <w:tc>
          <w:tcPr>
            <w:tcW w:w="1949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      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color w:val="FF0000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                  4.60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2.1 Работы (услуги) по санитарному содержанию мест общего пользования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29100,00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               1.60</w:t>
            </w:r>
          </w:p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2.2</w:t>
            </w:r>
            <w:r>
              <w:t xml:space="preserve"> </w:t>
            </w:r>
            <w:r>
              <w:rPr>
                <w:rStyle w:val="C4"/>
                <w:rFonts w:ascii="Arial" w:hAnsi="Arial"/>
                <w:sz w:val="18"/>
              </w:rPr>
              <w:t xml:space="preserve">Работы (услуги) по санитарному содержанию придомовой территории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62650,00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               1.20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2.3.1  Работы (услуги) по содержанию и техническому обслуживанию внутридомового инженерного оборудования и конструктивных элементов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50392,84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               1.60 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2.3.2 Материально-техническое обеспечение работ по содержанию общего имущества многоквартирного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3466,47</w:t>
            </w:r>
          </w:p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               0.20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3. Разовые работы по текущему и непредвиденному ремонту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20"/>
              </w:rPr>
            </w:pPr>
            <w:r>
              <w:rPr>
                <w:rStyle w:val="C4"/>
                <w:rFonts w:ascii="Arial" w:hAnsi="Arial"/>
                <w:b w:val="1"/>
                <w:sz w:val="20"/>
              </w:rPr>
              <w:t>176614.99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 xml:space="preserve">                  3.50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3.1 Промывка и опрессовка системы отопления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14500.00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3.2 Дезинфекция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16760.00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3.3 Ремонт кровли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97070.00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3.4 Аварийно ремонтные работы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6898.98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3.5 Замена блока питания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3000.00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3.6 Текущий ремонт (электротехнические работы, сварочные, замены труб)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 xml:space="preserve"> 8073.90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3.7 Материалы на текущий ремонт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712.00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3.8 Техническое обслуживание ВДО (внутридомовое газовое оборудование – сети)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222200.11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3.9.Герметизация межпанельных швов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7400.00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</w:tbl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1" w:vertAnchor="text"/>
        <w:tblOverlap w:val="never"/>
        <w:tblW w:w="5157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Look w:val="04A0"/>
      </w:tblPr>
      <w:tblGrid/>
      <w:tr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Информация о ведении претензионно-исковой работы в отношении потребителей-должников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претензий потребителям-должникам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14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исковых заявлений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5</w:t>
            </w:r>
          </w:p>
        </w:tc>
      </w:tr>
      <w:tr>
        <w:trPr>
          <w:trHeight w:hRule="atLeast" w:val="322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Получено денежных средств по результатам претензионно-исковой работы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76358.00</w:t>
            </w:r>
          </w:p>
        </w:tc>
      </w:tr>
    </w:tbl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tabs>
          <w:tab w:val="left" w:pos="1399" w:leader="none"/>
        </w:tabs>
        <w:rPr>
          <w:rStyle w:val="C4"/>
          <w:rFonts w:ascii="Arial" w:hAnsi="Arial"/>
          <w:sz w:val="18"/>
        </w:rPr>
      </w:pPr>
    </w:p>
    <w:sectPr>
      <w:type w:val="nextPage"/>
      <w:pgSz w:w="11906" w:h="16838" w:code="9"/>
      <w:pgMar w:left="851" w:right="851" w:top="567" w:bottom="567" w:header="709" w:footer="709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BE056C"/>
    <w:multiLevelType w:val="hybridMultilevel"/>
    <w:lvl w:ilvl="0">
      <w:start w:val="1"/>
      <w:numFmt w:val="bullet"/>
      <w:suff w:val="tab"/>
      <w:lvlText w:val=""/>
      <w:lvlJc w:val="left"/>
      <w:pPr>
        <w:ind w:hanging="360" w:left="720"/>
      </w:pPr>
      <w:rPr>
        <w:rFonts w:ascii="Symbol" w:hAnsi="Symbol"/>
      </w:rPr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">
    <w:nsid w:val="54DE09D1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"/>
  </w:num>
  <w:num w:numId="2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Обычный1"/>
    <w:qFormat/>
    <w:pPr/>
    <w:rPr>
      <w:rFonts w:ascii="Times New Roman" w:hAnsi="Times New Roman"/>
      <w:sz w:val="24"/>
    </w:rPr>
  </w:style>
  <w:style w:type="paragraph" w:styleId="P2">
    <w:name w:val="ConsPlusCell"/>
    <w:qFormat/>
    <w:pPr/>
    <w:rPr>
      <w:rFonts w:ascii="Times New Roman" w:hAnsi="Times New Roman"/>
      <w:sz w:val="28"/>
    </w:rPr>
  </w:style>
  <w:style w:type="paragraph" w:styleId="P3">
    <w:name w:val="Заголовок 11"/>
    <w:basedOn w:val="P1"/>
    <w:qFormat/>
    <w:pPr>
      <w:spacing w:before="100" w:after="100" w:beforeAutospacing="1" w:afterAutospacing="1"/>
      <w:outlineLvl w:val="0"/>
    </w:pPr>
    <w:rPr>
      <w:b w:val="1"/>
      <w:sz w:val="48"/>
    </w:rPr>
  </w:style>
  <w:style w:type="paragraph" w:styleId="P4">
    <w:name w:val="List Paragraph"/>
    <w:basedOn w:val="P1"/>
    <w:pPr>
      <w:ind w:left="720"/>
      <w:contextualSpacing w:val="1"/>
    </w:pPr>
    <w:rPr>
      <w:sz w:val="20"/>
    </w:rPr>
  </w:style>
  <w:style w:type="paragraph" w:styleId="P5">
    <w:name w:val="Верхний колонтитул1"/>
    <w:basedOn w:val="P1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6">
    <w:name w:val="Нижний колонтитул1"/>
    <w:basedOn w:val="P1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7">
    <w:name w:val="Основной текст1"/>
    <w:basedOn w:val="P1"/>
    <w:qFormat/>
    <w:pPr>
      <w:widowControl w:val="0"/>
      <w:shd w:val="clear" w:fill="FFFFFF"/>
      <w:spacing w:lineRule="atLeast" w:line="240" w:before="300" w:after="300" w:beforeAutospacing="0" w:afterAutospacing="0"/>
    </w:pPr>
    <w:rPr>
      <w:b w:val="1"/>
      <w:sz w:val="23"/>
    </w:rPr>
  </w:style>
  <w:style w:type="paragraph" w:styleId="P8">
    <w:name w:val="Текст выноски1"/>
    <w:basedOn w:val="P1"/>
    <w:pPr/>
    <w:rPr>
      <w:rFonts w:ascii="Tahoma" w:hAnsi="Tahoma"/>
      <w:sz w:val="16"/>
    </w:rPr>
  </w:style>
  <w:style w:type="paragraph" w:styleId="P9">
    <w:name w:val="Абзац списка1"/>
    <w:basedOn w:val="P1"/>
    <w:qFormat/>
    <w:pPr>
      <w:spacing w:lineRule="auto" w:line="258" w:after="160" w:beforeAutospacing="0" w:afterAutospacing="0"/>
      <w:ind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qFormat/>
    <w:rPr>
      <w:color w:val="0000FF"/>
      <w:u w:val="single"/>
    </w:rPr>
  </w:style>
  <w:style w:type="character" w:styleId="C3">
    <w:name w:val="line number"/>
    <w:basedOn w:val="C0"/>
    <w:semiHidden/>
    <w:qFormat/>
    <w:rPr/>
  </w:style>
  <w:style w:type="character" w:styleId="C4">
    <w:name w:val="Основной шрифт абзаца1"/>
    <w:qFormat/>
    <w:rPr/>
  </w:style>
  <w:style w:type="character" w:styleId="C5">
    <w:name w:val="Выделение1"/>
    <w:qFormat/>
    <w:rPr>
      <w:i w:val="1"/>
    </w:rPr>
  </w:style>
  <w:style w:type="character" w:styleId="C6">
    <w:name w:val="Верхний колонтитул Знак"/>
    <w:rPr/>
  </w:style>
  <w:style w:type="character" w:styleId="C7">
    <w:name w:val="Нижний колонтитул Знак"/>
    <w:qFormat/>
    <w:rPr/>
  </w:style>
  <w:style w:type="character" w:styleId="C8">
    <w:name w:val="Заголовок 1 Знак"/>
    <w:qFormat/>
    <w:rPr>
      <w:b w:val="1"/>
      <w:sz w:val="48"/>
    </w:rPr>
  </w:style>
  <w:style w:type="character" w:styleId="C9">
    <w:name w:val="Гиперссылка1"/>
    <w:qFormat/>
    <w:rPr>
      <w:color w:val="0563C1"/>
      <w:u w:val="single"/>
    </w:rPr>
  </w:style>
  <w:style w:type="character" w:styleId="C10">
    <w:name w:val="Основной текст + 9 pt"/>
    <w:rPr>
      <w:rFonts w:ascii="Times New Roman" w:hAnsi="Times New Roman"/>
      <w:sz w:val="18"/>
      <w:u w:val="none"/>
    </w:rPr>
  </w:style>
  <w:style w:type="character" w:styleId="C11">
    <w:name w:val="Основной текст Знак"/>
    <w:qFormat/>
    <w:rPr>
      <w:b w:val="1"/>
      <w:sz w:val="23"/>
    </w:rPr>
  </w:style>
  <w:style w:type="character" w:styleId="C12">
    <w:name w:val="Основной текст + 9 pt4"/>
    <w:rPr>
      <w:rFonts w:ascii="Times New Roman" w:hAnsi="Times New Roman"/>
      <w:b w:val="1"/>
      <w:sz w:val="18"/>
      <w:u w:val="none"/>
    </w:rPr>
  </w:style>
  <w:style w:type="character" w:styleId="C13">
    <w:name w:val="Основной текст + 9 pt3"/>
    <w:rPr>
      <w:rFonts w:ascii="Times New Roman" w:hAnsi="Times New Roman"/>
      <w:sz w:val="18"/>
      <w:u w:val="none"/>
    </w:rPr>
  </w:style>
  <w:style w:type="character" w:styleId="C14">
    <w:name w:val="Основной текст + 9 pt1"/>
    <w:qFormat/>
    <w:rPr/>
  </w:style>
  <w:style w:type="character" w:styleId="C15">
    <w:name w:val="Основной текст + 10"/>
    <w:qFormat/>
    <w:rPr>
      <w:rFonts w:ascii="Times New Roman" w:hAnsi="Times New Roman"/>
      <w:b w:val="1"/>
      <w:sz w:val="21"/>
      <w:u w:val="none"/>
    </w:rPr>
  </w:style>
  <w:style w:type="character" w:styleId="C16">
    <w:name w:val="Основной текст + 9 pt2"/>
    <w:rPr/>
  </w:style>
  <w:style w:type="character" w:styleId="C17">
    <w:name w:val="Основной текст (6)"/>
    <w:rPr>
      <w:rFonts w:ascii="Times New Roman" w:hAnsi="Times New Roman"/>
      <w:sz w:val="27"/>
      <w:u w:val="single"/>
    </w:rPr>
  </w:style>
  <w:style w:type="character" w:styleId="C18">
    <w:name w:val="Основной текст (5) + Полужирный1"/>
    <w:rPr>
      <w:rFonts w:ascii="Times New Roman" w:hAnsi="Times New Roman"/>
      <w:b w:val="1"/>
      <w:i w:val="1"/>
      <w:sz w:val="26"/>
      <w:u w:val="single"/>
    </w:rPr>
  </w:style>
  <w:style w:type="character" w:styleId="C19">
    <w:name w:val="Текст выноски Знак"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qFormat/>
    <w:tblPr>
      <w:tblInd w:w="0" w:type="dxa"/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  <w:tblStylePr w:type="lastRow">
      <w:tblPr/>
      <w:trPr/>
      <w:tcPr>
        <w:tcBorders>
          <w:top w:val="single" w:sz="6" w:space="0" w:shadow="0" w:fram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Row">
      <w:tblPr/>
      <w:trPr/>
      <w:tcPr>
        <w:tcBorders>
          <w:top w:val="nil"/>
          <w:left w:val="single" w:sz="6" w:space="0" w:shadow="0" w:fram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2">
    <w:name w:val="Обычная таблица1"/>
    <w:qFormat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Сетка таблицы1"/>
    <w:basedOn w:val="T2"/>
    <w:qFormat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