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4995A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Форма 2.8. Отчет об исполнении управляющей организацией договора управления.</w:t>
      </w:r>
    </w:p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ООО «НовоГрад»</w:t>
      </w:r>
    </w:p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по ул. Нариманова, дом 1 «А»</w:t>
      </w:r>
    </w:p>
    <w:p>
      <w:pPr>
        <w:pStyle w:val="P1"/>
        <w:jc w:val="both"/>
        <w:rPr>
          <w:rStyle w:val="C4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/>
        <w:tblOverlap w:val="never"/>
        <w:tblW w:w="4946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№ п/п</w:t>
            </w:r>
          </w:p>
        </w:tc>
        <w:tc>
          <w:tcPr>
            <w:tcW w:w="3397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Наименование параметра</w:t>
            </w:r>
          </w:p>
        </w:tc>
        <w:tc>
          <w:tcPr>
            <w:tcW w:w="654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Ед. изм.</w:t>
            </w:r>
          </w:p>
        </w:tc>
        <w:tc>
          <w:tcPr>
            <w:tcW w:w="655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Значение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заполнения/внесения изменений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начала отчетного периода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01.01.2022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конца отчетного периода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31.12.2022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636875,80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 содержание дома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318437,90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59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 текущий ремонт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191062,74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49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 xml:space="preserve">за услуги управления 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both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 xml:space="preserve">  127375,16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Получено денежных средств, в т. ч: 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557944.58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 xml:space="preserve">денежных средств от потребителей 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both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 xml:space="preserve">  542944.58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целевых взносов от потребителей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субсидий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денежных средств от использования общего имущества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both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 xml:space="preserve">  15000,00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Авансовые платежи потребителей (на конец периода)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both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 xml:space="preserve">      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Задолженность потребителей (на конец периода)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841962,18</w:t>
            </w:r>
            <w:bookmarkStart w:id="0" w:name="_GoBack"/>
            <w:bookmarkEnd w:id="0"/>
          </w:p>
        </w:tc>
      </w:tr>
    </w:tbl>
    <w:p>
      <w:pPr>
        <w:pStyle w:val="P1"/>
        <w:rPr>
          <w:rStyle w:val="C4"/>
          <w:rFonts w:ascii="Arial" w:hAnsi="Arial"/>
          <w:b w:val="1"/>
          <w:sz w:val="18"/>
        </w:rPr>
      </w:pPr>
    </w:p>
    <w:p>
      <w:pPr>
        <w:pStyle w:val="P1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Выполненные работы (оказанные услуги) по содержанию общего имущества и текущему ремонту в отчётном периоде (заполняется по каждому виду работы (услуги))</w:t>
      </w:r>
    </w:p>
    <w:p>
      <w:pPr>
        <w:pStyle w:val="P1"/>
        <w:rPr>
          <w:rStyle w:val="C4"/>
          <w:rFonts w:ascii="Arial" w:hAnsi="Arial"/>
          <w:sz w:val="18"/>
        </w:rPr>
      </w:pPr>
    </w:p>
    <w:tbl>
      <w:tblPr>
        <w:tblStyle w:val="T2"/>
        <w:tblpPr w:leftFromText="180" w:rightFromText="180" w:tblpX="1" w:tblpY="5" w:horzAnchor="margin" w:vertAnchor="text"/>
        <w:tblW w:w="0" w:type="auto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25"/>
        </w:trPr>
        <w:tc>
          <w:tcPr>
            <w:tcW w:w="3787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Наименование работ (услуг)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Годовая фактическая стоимость работ (услуг)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Периодичность выполнения работ (оказания услуг)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Единица измерения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Стоимость на единицу измерения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1.Работы (услуги) по управлению многоквартирным домом ( в том числе материально техническое обеспечение, средства оплаченные за расчетно-кассовое обслуживание и направленные на оплату налога по УСН)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144875,28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2.70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1.1 Работы (услуги) по управлению многоквартирным домом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123048,86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Ежедневно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2.25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80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1.2. Оплачено за рассчетно-кассовое обслуживание</w:t>
            </w:r>
          </w:p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673" w:type="dxa"/>
          </w:tcPr>
          <w:p>
            <w:pPr>
              <w:pStyle w:val="P1"/>
              <w:jc w:val="both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 xml:space="preserve">      7429,05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0.15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1.3 Средства направленные на оплату налога по УСН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18"/>
              </w:rPr>
              <w:t>14397,37</w:t>
            </w:r>
          </w:p>
        </w:tc>
        <w:tc>
          <w:tcPr>
            <w:tcW w:w="1949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   Ежемесячно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0,30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 xml:space="preserve">2. Работы (услуги) по содержанию общего имущества многоквартирного дома (в том числе </w:t>
            </w:r>
            <w:r>
              <w:rPr>
                <w:rStyle w:val="C4"/>
                <w:sz w:val="20"/>
              </w:rPr>
              <w:t xml:space="preserve"> </w:t>
            </w:r>
            <w:r>
              <w:rPr>
                <w:rStyle w:val="C4"/>
                <w:rFonts w:ascii="Arial" w:hAnsi="Arial"/>
                <w:b w:val="1"/>
                <w:sz w:val="18"/>
              </w:rPr>
              <w:t>затраты на материально-техническое обеспечение работ производственного персонала)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18"/>
              </w:rPr>
              <w:t>133851.27</w:t>
            </w:r>
          </w:p>
        </w:tc>
        <w:tc>
          <w:tcPr>
            <w:tcW w:w="1949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      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color w:val="FF0000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 xml:space="preserve">                  4.60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2.1 Работы (услуги) по санитарному содержанию мест общего пользования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14822,00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               1.60</w:t>
            </w:r>
          </w:p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2.2</w:t>
            </w:r>
            <w:r>
              <w:t xml:space="preserve"> </w:t>
            </w:r>
            <w:r>
              <w:rPr>
                <w:rStyle w:val="C4"/>
                <w:rFonts w:ascii="Arial" w:hAnsi="Arial"/>
                <w:sz w:val="18"/>
              </w:rPr>
              <w:t xml:space="preserve">Работы (услуги) по санитарному содержанию придомовой территории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63480,00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               1.20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2.3.1  Работы (услуги) по содержанию и техническому обслуживанию внутридомового инженерного оборудования и конструктивных элементов дома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55549,27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               1.60 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2.3.2 Материально-техническое обеспечение работ по содержанию общего имущества многоквартирного дома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               0.20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3. Разовые работы по текущему и непредвиденному ремонту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20"/>
              </w:rPr>
            </w:pPr>
            <w:r>
              <w:rPr>
                <w:rStyle w:val="C4"/>
                <w:rFonts w:ascii="Arial" w:hAnsi="Arial"/>
                <w:b w:val="1"/>
                <w:sz w:val="20"/>
              </w:rPr>
              <w:t>207530.86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 xml:space="preserve">                  3.50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3.1 Промывка и опрессовка системы отопления дома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14500.00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3.2 Дезинфекция подвального помещения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8000.00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3.3 Ремонт кровли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109850.00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3.4 Вывоз крупногабаритного мусора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3500.00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3.4</w:t>
            </w:r>
            <w:r>
              <w:rPr>
                <w:rStyle w:val="C4"/>
                <w:sz w:val="28"/>
              </w:rPr>
              <w:t xml:space="preserve"> </w:t>
            </w:r>
            <w:r>
              <w:rPr>
                <w:rStyle w:val="C4"/>
                <w:rFonts w:ascii="Arial" w:hAnsi="Arial"/>
                <w:sz w:val="18"/>
              </w:rPr>
              <w:t>Электротехнические работы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26272.00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3.5 Материалы на текущий ремонт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17471.05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3.6 Техническое обслуживание ВДО (внутридомовое газовое оборудование – сети)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7277.81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3.7.Герметизация межпанельных швов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20660.00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</w:tbl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/>
        <w:tblOverlap w:val="never"/>
        <w:tblW w:w="5157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Направлено претензий потребителям-должникам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14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Направлено исковых заявлений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-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322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84888.52</w:t>
            </w:r>
          </w:p>
        </w:tc>
      </w:tr>
    </w:tbl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  <w:sectPr>
          <w:type w:val="nextPage"/>
          <w:pgSz w:w="11906" w:h="16838" w:code="9"/>
          <w:pgMar w:left="1418" w:right="567" w:top="567" w:bottom="567" w:header="709" w:footer="709" w:gutter="0"/>
          <w:cols w:equalWidth="1" w:space="720"/>
        </w:sectPr>
      </w:pPr>
    </w:p>
    <w:p>
      <w:pPr>
        <w:pStyle w:val="P1"/>
        <w:tabs>
          <w:tab w:val="left" w:pos="1399" w:leader="none"/>
        </w:tabs>
        <w:rPr>
          <w:rStyle w:val="C4"/>
          <w:rFonts w:ascii="Arial" w:hAnsi="Arial"/>
          <w:sz w:val="18"/>
        </w:rPr>
      </w:pPr>
    </w:p>
    <w:sectPr>
      <w:type w:val="nextPage"/>
      <w:pgSz w:w="11906" w:h="16838" w:code="9"/>
      <w:pgMar w:left="851" w:right="851" w:top="567" w:bottom="567" w:header="709" w:footer="709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1BE056C"/>
    <w:multiLevelType w:val="hybridMultilevel"/>
    <w:lvl w:ilvl="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54DE09D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alibri" w:hAnsi="Calibri"/>
    </w:rPr>
  </w:style>
  <w:style w:type="paragraph" w:styleId="P1">
    <w:name w:val="Обычный1"/>
    <w:qFormat/>
    <w:pPr/>
    <w:rPr>
      <w:rFonts w:ascii="Times New Roman" w:hAnsi="Times New Roman"/>
      <w:sz w:val="24"/>
    </w:rPr>
  </w:style>
  <w:style w:type="paragraph" w:styleId="P2">
    <w:name w:val="ConsPlusCell"/>
    <w:qFormat/>
    <w:pPr/>
    <w:rPr>
      <w:rFonts w:ascii="Times New Roman" w:hAnsi="Times New Roman"/>
      <w:sz w:val="28"/>
    </w:rPr>
  </w:style>
  <w:style w:type="paragraph" w:styleId="P3">
    <w:name w:val="Заголовок 11"/>
    <w:basedOn w:val="P1"/>
    <w:qFormat/>
    <w:pPr>
      <w:spacing w:before="100" w:after="100" w:beforeAutospacing="1" w:afterAutospacing="1"/>
      <w:outlineLvl w:val="0"/>
    </w:pPr>
    <w:rPr>
      <w:b w:val="1"/>
      <w:sz w:val="48"/>
    </w:rPr>
  </w:style>
  <w:style w:type="paragraph" w:styleId="P4">
    <w:name w:val="List Paragraph"/>
    <w:basedOn w:val="P1"/>
    <w:pPr>
      <w:ind w:left="720"/>
      <w:contextualSpacing w:val="1"/>
    </w:pPr>
    <w:rPr>
      <w:sz w:val="20"/>
    </w:rPr>
  </w:style>
  <w:style w:type="paragraph" w:styleId="P5">
    <w:name w:val="Верхний колонтитул1"/>
    <w:basedOn w:val="P1"/>
    <w:qFormat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6">
    <w:name w:val="Нижний колонтитул1"/>
    <w:basedOn w:val="P1"/>
    <w:qFormat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7">
    <w:name w:val="Основной текст1"/>
    <w:basedOn w:val="P1"/>
    <w:qFormat/>
    <w:pPr>
      <w:widowControl w:val="0"/>
      <w:shd w:val="clear" w:fill="FFFFFF"/>
      <w:spacing w:lineRule="atLeast" w:line="240" w:before="300" w:after="300" w:beforeAutospacing="0" w:afterAutospacing="0"/>
    </w:pPr>
    <w:rPr>
      <w:b w:val="1"/>
      <w:sz w:val="23"/>
    </w:rPr>
  </w:style>
  <w:style w:type="paragraph" w:styleId="P8">
    <w:name w:val="Текст выноски1"/>
    <w:basedOn w:val="P1"/>
    <w:pPr/>
    <w:rPr>
      <w:rFonts w:ascii="Tahoma" w:hAnsi="Tahoma"/>
      <w:sz w:val="16"/>
    </w:rPr>
  </w:style>
  <w:style w:type="paragraph" w:styleId="P9">
    <w:name w:val="Абзац списка1"/>
    <w:basedOn w:val="P1"/>
    <w:qFormat/>
    <w:pPr>
      <w:spacing w:lineRule="auto" w:line="258" w:after="160" w:beforeAutospacing="0" w:afterAutospacing="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qFormat/>
    <w:rPr>
      <w:color w:val="0000FF"/>
      <w:u w:val="single"/>
    </w:rPr>
  </w:style>
  <w:style w:type="character" w:styleId="C3">
    <w:name w:val="line number"/>
    <w:basedOn w:val="C0"/>
    <w:semiHidden/>
    <w:qFormat/>
    <w:rPr/>
  </w:style>
  <w:style w:type="character" w:styleId="C4">
    <w:name w:val="Основной шрифт абзаца1"/>
    <w:qFormat/>
    <w:rPr/>
  </w:style>
  <w:style w:type="character" w:styleId="C5">
    <w:name w:val="Выделение1"/>
    <w:qFormat/>
    <w:rPr>
      <w:i w:val="1"/>
    </w:rPr>
  </w:style>
  <w:style w:type="character" w:styleId="C6">
    <w:name w:val="Верхний колонтитул Знак"/>
    <w:rPr/>
  </w:style>
  <w:style w:type="character" w:styleId="C7">
    <w:name w:val="Нижний колонтитул Знак"/>
    <w:qFormat/>
    <w:rPr/>
  </w:style>
  <w:style w:type="character" w:styleId="C8">
    <w:name w:val="Заголовок 1 Знак"/>
    <w:qFormat/>
    <w:rPr>
      <w:b w:val="1"/>
      <w:sz w:val="48"/>
    </w:rPr>
  </w:style>
  <w:style w:type="character" w:styleId="C9">
    <w:name w:val="Гиперссылка1"/>
    <w:qFormat/>
    <w:rPr>
      <w:color w:val="0563C1"/>
      <w:u w:val="single"/>
    </w:rPr>
  </w:style>
  <w:style w:type="character" w:styleId="C10">
    <w:name w:val="Основной текст + 9 pt"/>
    <w:rPr>
      <w:rFonts w:ascii="Times New Roman" w:hAnsi="Times New Roman"/>
      <w:sz w:val="18"/>
      <w:u w:val="none"/>
    </w:rPr>
  </w:style>
  <w:style w:type="character" w:styleId="C11">
    <w:name w:val="Основной текст Знак"/>
    <w:qFormat/>
    <w:rPr>
      <w:b w:val="1"/>
      <w:sz w:val="23"/>
    </w:rPr>
  </w:style>
  <w:style w:type="character" w:styleId="C12">
    <w:name w:val="Основной текст + 9 pt4"/>
    <w:rPr>
      <w:rFonts w:ascii="Times New Roman" w:hAnsi="Times New Roman"/>
      <w:b w:val="1"/>
      <w:sz w:val="18"/>
      <w:u w:val="none"/>
    </w:rPr>
  </w:style>
  <w:style w:type="character" w:styleId="C13">
    <w:name w:val="Основной текст + 9 pt3"/>
    <w:rPr>
      <w:rFonts w:ascii="Times New Roman" w:hAnsi="Times New Roman"/>
      <w:sz w:val="18"/>
      <w:u w:val="none"/>
    </w:rPr>
  </w:style>
  <w:style w:type="character" w:styleId="C14">
    <w:name w:val="Основной текст + 9 pt1"/>
    <w:qFormat/>
    <w:rPr/>
  </w:style>
  <w:style w:type="character" w:styleId="C15">
    <w:name w:val="Основной текст + 10"/>
    <w:qFormat/>
    <w:rPr>
      <w:rFonts w:ascii="Times New Roman" w:hAnsi="Times New Roman"/>
      <w:b w:val="1"/>
      <w:sz w:val="21"/>
      <w:u w:val="none"/>
    </w:rPr>
  </w:style>
  <w:style w:type="character" w:styleId="C16">
    <w:name w:val="Основной текст + 9 pt2"/>
    <w:rPr/>
  </w:style>
  <w:style w:type="character" w:styleId="C17">
    <w:name w:val="Основной текст (6)"/>
    <w:rPr>
      <w:rFonts w:ascii="Times New Roman" w:hAnsi="Times New Roman"/>
      <w:sz w:val="27"/>
      <w:u w:val="single"/>
    </w:rPr>
  </w:style>
  <w:style w:type="character" w:styleId="C18">
    <w:name w:val="Основной текст (5) + Полужирный1"/>
    <w:rPr>
      <w:rFonts w:ascii="Times New Roman" w:hAnsi="Times New Roman"/>
      <w:b w:val="1"/>
      <w:i w:val="1"/>
      <w:sz w:val="26"/>
      <w:u w:val="single"/>
    </w:rPr>
  </w:style>
  <w:style w:type="character" w:styleId="C19">
    <w:name w:val="Текст выноски Знак"/>
    <w:rPr>
      <w:rFonts w:ascii="Tahoma" w:hAnsi="Tahoma"/>
      <w:sz w:val="16"/>
    </w:rPr>
  </w:style>
  <w:style w:type="table" w:styleId="T0" w:default="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qFormat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lastRow">
      <w:tblPr/>
      <w:trPr/>
      <w:tcPr>
        <w:tcBorders>
          <w:top w:val="single" w:sz="6" w:space="0" w:shadow="0" w:fram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Row">
      <w:tblPr/>
      <w:trPr/>
      <w:tcPr>
        <w:tcBorders>
          <w:top w:val="nil"/>
          <w:left w:val="single" w:sz="6" w:space="0" w:shadow="0" w:fram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2">
    <w:name w:val="Обычная таблица1"/>
    <w:qFormat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1"/>
    <w:basedOn w:val="T2"/>
    <w:qFormat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