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color w:val="3B3B3B"/>
        </w:rPr>
        <w:t>Зарегистрировано в Минюсте России 01.06.2021 N 63748</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b/>
          <w:bCs/>
          <w:color w:val="3B3B3B"/>
          <w:bdr w:val="none" w:sz="0" w:space="0" w:color="auto" w:frame="1"/>
        </w:rPr>
        <w:t>МИНИСТЕРСТВО ТРУДА И СОЦИАЛЬНОЙ ЗАЩИТЫ</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b/>
          <w:bCs/>
          <w:color w:val="3B3B3B"/>
          <w:bdr w:val="none" w:sz="0" w:space="0" w:color="auto" w:frame="1"/>
        </w:rPr>
        <w:t>РОССИЙСКОЙ ФЕДЕРАЦИИ</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b/>
          <w:bCs/>
          <w:color w:val="3B3B3B"/>
          <w:bdr w:val="none" w:sz="0" w:space="0" w:color="auto" w:frame="1"/>
        </w:rPr>
        <w:t>(Минтруд России)</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b/>
          <w:bCs/>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b/>
          <w:bCs/>
          <w:color w:val="3B3B3B"/>
          <w:bdr w:val="none" w:sz="0" w:space="0" w:color="auto" w:frame="1"/>
        </w:rPr>
        <w:t>ПРИКАЗ</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b/>
          <w:bCs/>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b/>
          <w:bCs/>
          <w:color w:val="3B3B3B"/>
          <w:bdr w:val="none" w:sz="0" w:space="0" w:color="auto" w:frame="1"/>
        </w:rPr>
        <w:t>19 мая 2021 г.                                                                        № 320н</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b/>
          <w:bCs/>
          <w:color w:val="3B3B3B"/>
          <w:bdr w:val="none" w:sz="0" w:space="0" w:color="auto" w:frame="1"/>
        </w:rPr>
        <w:t>Москва</w:t>
      </w:r>
    </w:p>
    <w:p w:rsidR="0094193F" w:rsidRPr="0094193F" w:rsidRDefault="0094193F" w:rsidP="0094193F">
      <w:pPr>
        <w:pStyle w:val="a3"/>
        <w:shd w:val="clear" w:color="auto" w:fill="FFFFFF"/>
        <w:spacing w:before="0" w:beforeAutospacing="0" w:after="0" w:afterAutospacing="0"/>
        <w:textAlignment w:val="baseline"/>
        <w:rPr>
          <w:color w:val="3B3B3B"/>
        </w:rPr>
      </w:pPr>
      <w:r w:rsidRPr="0094193F">
        <w:rPr>
          <w:b/>
          <w:bCs/>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b/>
          <w:bCs/>
          <w:color w:val="3B3B3B"/>
          <w:bdr w:val="none" w:sz="0" w:space="0" w:color="auto" w:frame="1"/>
        </w:rPr>
        <w:t>Об утверждении формы, порядка ведения и хранения трудовых книжек</w:t>
      </w:r>
    </w:p>
    <w:p w:rsidR="0094193F" w:rsidRPr="0094193F" w:rsidRDefault="0094193F" w:rsidP="0094193F">
      <w:pPr>
        <w:pStyle w:val="a3"/>
        <w:shd w:val="clear" w:color="auto" w:fill="FFFFFF"/>
        <w:spacing w:before="0" w:beforeAutospacing="0" w:after="0" w:afterAutospacing="0"/>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соответствии со статьей 66 Трудового кодекса Российской Федерации (Собрание законодательства Российской Федерации 2002, N 1, ст. 3; 2019, N 51, ст. 7491) и подпунктом 5.2.114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1. Утвердить:</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 xml:space="preserve">форму трудовой книжки согласно </w:t>
      </w:r>
      <w:proofErr w:type="gramStart"/>
      <w:r w:rsidRPr="0094193F">
        <w:rPr>
          <w:color w:val="3B3B3B"/>
        </w:rPr>
        <w:t>приложению</w:t>
      </w:r>
      <w:proofErr w:type="gramEnd"/>
      <w:r w:rsidRPr="0094193F">
        <w:rPr>
          <w:color w:val="3B3B3B"/>
        </w:rPr>
        <w:t xml:space="preserve"> N 1;</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 xml:space="preserve">порядок ведения и хранения трудовых книжек согласно </w:t>
      </w:r>
      <w:proofErr w:type="gramStart"/>
      <w:r w:rsidRPr="0094193F">
        <w:rPr>
          <w:color w:val="3B3B3B"/>
        </w:rPr>
        <w:t>приложению</w:t>
      </w:r>
      <w:proofErr w:type="gramEnd"/>
      <w:r w:rsidRPr="0094193F">
        <w:rPr>
          <w:color w:val="3B3B3B"/>
        </w:rPr>
        <w:t xml:space="preserve"> N 2.</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2. Признать утратившими силу:</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постановление Министерства труда Российской Федерации от 24 июня 1994 г. N 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 г., регистрационный N 616);</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постановление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приказ Министерства труда и социальной защиты Российской Федерации от 31 октября 2016 г. N 588н "О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 г. N 69" (зарегистрирован Министерством юстиции Российской Федерации 14 ноября 2016 г., регистрационный N 44326).</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3. Установить, что настоящий приказ вступает в силу с 1 сентября 2021 г. и действует до 1 сентября 2027 года.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 xml:space="preserve">Министр                         А.О. </w:t>
      </w:r>
      <w:proofErr w:type="spellStart"/>
      <w:r w:rsidRPr="0094193F">
        <w:rPr>
          <w:color w:val="3B3B3B"/>
        </w:rPr>
        <w:t>Котяков</w:t>
      </w:r>
      <w:proofErr w:type="spellEnd"/>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bookmarkStart w:id="0" w:name="1"/>
      <w:bookmarkEnd w:id="0"/>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noProof/>
          <w:color w:val="3B3B3B"/>
          <w:bdr w:val="none" w:sz="0" w:space="0" w:color="auto" w:frame="1"/>
        </w:rPr>
        <w:lastRenderedPageBreak/>
        <w:drawing>
          <wp:inline distT="0" distB="0" distL="0" distR="0">
            <wp:extent cx="6482990" cy="9798685"/>
            <wp:effectExtent l="0" t="0" r="0" b="0"/>
            <wp:docPr id="3" name="Рисунок 3" descr="https://www.kadrovik-praktik.ru/upload/medialibrary/006/bq0ur4b8b612ybtvmuqc80k842558s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drovik-praktik.ru/upload/medialibrary/006/bq0ur4b8b612ybtvmuqc80k842558sb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94383" cy="9815906"/>
                    </a:xfrm>
                    <a:prstGeom prst="rect">
                      <a:avLst/>
                    </a:prstGeom>
                    <a:noFill/>
                    <a:ln>
                      <a:noFill/>
                    </a:ln>
                  </pic:spPr>
                </pic:pic>
              </a:graphicData>
            </a:graphic>
          </wp:inline>
        </w:drawing>
      </w:r>
      <w:r w:rsidRPr="0094193F">
        <w:rPr>
          <w:color w:val="3B3B3B"/>
          <w:bdr w:val="none" w:sz="0" w:space="0" w:color="auto" w:frame="1"/>
        </w:rPr>
        <w:br/>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noProof/>
          <w:color w:val="3B3B3B"/>
          <w:bdr w:val="none" w:sz="0" w:space="0" w:color="auto" w:frame="1"/>
        </w:rPr>
        <w:drawing>
          <wp:inline distT="0" distB="0" distL="0" distR="0">
            <wp:extent cx="6053938" cy="7083188"/>
            <wp:effectExtent l="0" t="0" r="4445" b="3810"/>
            <wp:docPr id="2" name="Рисунок 2" descr="https://www.kadrovik-praktik.ru/upload/medialibrary/5af/4p5bugq2e4gqxveudz18dhnwj4oc26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adrovik-praktik.ru/upload/medialibrary/5af/4p5bugq2e4gqxveudz18dhnwj4oc26k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0739" cy="7091145"/>
                    </a:xfrm>
                    <a:prstGeom prst="rect">
                      <a:avLst/>
                    </a:prstGeom>
                    <a:noFill/>
                    <a:ln>
                      <a:noFill/>
                    </a:ln>
                  </pic:spPr>
                </pic:pic>
              </a:graphicData>
            </a:graphic>
          </wp:inline>
        </w:drawing>
      </w:r>
      <w:r w:rsidRPr="0094193F">
        <w:rPr>
          <w:color w:val="3B3B3B"/>
          <w:bdr w:val="none" w:sz="0" w:space="0" w:color="auto" w:frame="1"/>
        </w:rPr>
        <w:br/>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noProof/>
          <w:color w:val="3B3B3B"/>
          <w:bdr w:val="none" w:sz="0" w:space="0" w:color="auto" w:frame="1"/>
        </w:rPr>
        <w:drawing>
          <wp:inline distT="0" distB="0" distL="0" distR="0">
            <wp:extent cx="6052782" cy="10364669"/>
            <wp:effectExtent l="0" t="0" r="5715" b="0"/>
            <wp:docPr id="1" name="Рисунок 1" descr="https://www.kadrovik-praktik.ru/upload/medialibrary/c15/cq774lrbl6bc3b52k0ypbohh2mwwc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adrovik-praktik.ru/upload/medialibrary/c15/cq774lrbl6bc3b52k0ypbohh2mwwces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4073" cy="10384004"/>
                    </a:xfrm>
                    <a:prstGeom prst="rect">
                      <a:avLst/>
                    </a:prstGeom>
                    <a:noFill/>
                    <a:ln>
                      <a:noFill/>
                    </a:ln>
                  </pic:spPr>
                </pic:pic>
              </a:graphicData>
            </a:graphic>
          </wp:inline>
        </w:drawing>
      </w:r>
      <w:r w:rsidRPr="0094193F">
        <w:rPr>
          <w:color w:val="3B3B3B"/>
          <w:bdr w:val="none" w:sz="0" w:space="0" w:color="auto" w:frame="1"/>
        </w:rPr>
        <w:br/>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bookmarkStart w:id="1" w:name="2"/>
      <w:bookmarkEnd w:id="1"/>
    </w:p>
    <w:p w:rsidR="0094193F" w:rsidRPr="0094193F" w:rsidRDefault="0094193F" w:rsidP="0094193F">
      <w:pPr>
        <w:pStyle w:val="a3"/>
        <w:shd w:val="clear" w:color="auto" w:fill="FFFFFF"/>
        <w:spacing w:before="0" w:beforeAutospacing="0" w:after="0" w:afterAutospacing="0"/>
        <w:jc w:val="right"/>
        <w:textAlignment w:val="baseline"/>
        <w:rPr>
          <w:color w:val="3B3B3B"/>
        </w:rPr>
      </w:pPr>
      <w:r w:rsidRPr="0094193F">
        <w:rPr>
          <w:color w:val="3B3B3B"/>
        </w:rPr>
        <w:t>Приложение N 2</w:t>
      </w:r>
    </w:p>
    <w:p w:rsidR="0094193F" w:rsidRPr="0094193F" w:rsidRDefault="0094193F" w:rsidP="0094193F">
      <w:pPr>
        <w:pStyle w:val="a3"/>
        <w:shd w:val="clear" w:color="auto" w:fill="FFFFFF"/>
        <w:spacing w:before="0" w:beforeAutospacing="0" w:after="0" w:afterAutospacing="0"/>
        <w:jc w:val="right"/>
        <w:textAlignment w:val="baseline"/>
        <w:rPr>
          <w:color w:val="3B3B3B"/>
        </w:rPr>
      </w:pPr>
      <w:r w:rsidRPr="0094193F">
        <w:rPr>
          <w:color w:val="3B3B3B"/>
        </w:rPr>
        <w:t>к приказу Министерства</w:t>
      </w:r>
    </w:p>
    <w:p w:rsidR="0094193F" w:rsidRPr="0094193F" w:rsidRDefault="0094193F" w:rsidP="0094193F">
      <w:pPr>
        <w:pStyle w:val="a3"/>
        <w:shd w:val="clear" w:color="auto" w:fill="FFFFFF"/>
        <w:spacing w:before="0" w:beforeAutospacing="0" w:after="0" w:afterAutospacing="0"/>
        <w:jc w:val="right"/>
        <w:textAlignment w:val="baseline"/>
        <w:rPr>
          <w:color w:val="3B3B3B"/>
        </w:rPr>
      </w:pPr>
      <w:r w:rsidRPr="0094193F">
        <w:rPr>
          <w:color w:val="3B3B3B"/>
        </w:rPr>
        <w:t>труда и социальной защиты</w:t>
      </w:r>
    </w:p>
    <w:p w:rsidR="0094193F" w:rsidRPr="0094193F" w:rsidRDefault="0094193F" w:rsidP="0094193F">
      <w:pPr>
        <w:pStyle w:val="a3"/>
        <w:shd w:val="clear" w:color="auto" w:fill="FFFFFF"/>
        <w:spacing w:before="0" w:beforeAutospacing="0" w:after="0" w:afterAutospacing="0"/>
        <w:jc w:val="right"/>
        <w:textAlignment w:val="baseline"/>
        <w:rPr>
          <w:color w:val="3B3B3B"/>
        </w:rPr>
      </w:pPr>
      <w:r w:rsidRPr="0094193F">
        <w:rPr>
          <w:color w:val="3B3B3B"/>
        </w:rPr>
        <w:t>Российской Федерации</w:t>
      </w:r>
    </w:p>
    <w:p w:rsidR="0094193F" w:rsidRPr="0094193F" w:rsidRDefault="0094193F" w:rsidP="0094193F">
      <w:pPr>
        <w:pStyle w:val="a3"/>
        <w:shd w:val="clear" w:color="auto" w:fill="FFFFFF"/>
        <w:spacing w:before="0" w:beforeAutospacing="0" w:after="0" w:afterAutospacing="0"/>
        <w:jc w:val="right"/>
        <w:textAlignment w:val="baseline"/>
        <w:rPr>
          <w:color w:val="3B3B3B"/>
        </w:rPr>
      </w:pPr>
      <w:r w:rsidRPr="0094193F">
        <w:rPr>
          <w:color w:val="3B3B3B"/>
        </w:rPr>
        <w:t>от 19 мая 2021 г. N 320н</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b/>
          <w:bCs/>
          <w:color w:val="3B3B3B"/>
          <w:bdr w:val="none" w:sz="0" w:space="0" w:color="auto" w:frame="1"/>
        </w:rPr>
        <w:t>Порядок ведения и хранения трудовых книжек</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color w:val="3B3B3B"/>
        </w:rPr>
        <w:t>I. Общие положения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 xml:space="preserve">1. Настоящий Порядок устанавливает порядок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 (Собрание законодательства Российской Федерации, 2002, N </w:t>
      </w:r>
      <w:proofErr w:type="gramStart"/>
      <w:r w:rsidRPr="0094193F">
        <w:rPr>
          <w:color w:val="3B3B3B"/>
        </w:rPr>
        <w:t>1,ст.</w:t>
      </w:r>
      <w:proofErr w:type="gramEnd"/>
      <w:r w:rsidRPr="0094193F">
        <w:rPr>
          <w:color w:val="3B3B3B"/>
        </w:rPr>
        <w:t xml:space="preserve"> 3,2019, № 51, ст. 7491).</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 xml:space="preserve">2.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w:t>
      </w:r>
      <w:proofErr w:type="gramStart"/>
      <w:r w:rsidRPr="0094193F">
        <w:rPr>
          <w:color w:val="3B3B3B"/>
        </w:rPr>
        <w:t>случае</w:t>
      </w:r>
      <w:proofErr w:type="gramEnd"/>
      <w:r w:rsidRPr="0094193F">
        <w:rPr>
          <w:color w:val="3B3B3B"/>
        </w:rPr>
        <w:t xml:space="preserve"> когда работа у данного работодателя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 (не оформляется).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(за исключением случаев, если в соответствии с Кодексом, иным федеральным законом трудовая книжка на работника не ведется).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3. Записи дат во всех разделах трудовых книжек производятся арабскими цифрами (число и месяц - двузначными, год - четырехзначными).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 xml:space="preserve">Записи рекомендуется производить аккуратно, </w:t>
      </w:r>
      <w:proofErr w:type="spellStart"/>
      <w:r w:rsidRPr="0094193F">
        <w:rPr>
          <w:color w:val="3B3B3B"/>
        </w:rPr>
        <w:t>световодостойкими</w:t>
      </w:r>
      <w:proofErr w:type="spellEnd"/>
      <w:r w:rsidRPr="0094193F">
        <w:rPr>
          <w:color w:val="3B3B3B"/>
        </w:rPr>
        <w:t xml:space="preserve"> чернилами (пастой, краской, гелем) черного, синего или фиолетового цвета и без каких-либо сокращений. Не допускается писать "пр." вместо "приказ", "</w:t>
      </w:r>
      <w:proofErr w:type="spellStart"/>
      <w:r w:rsidRPr="0094193F">
        <w:rPr>
          <w:color w:val="3B3B3B"/>
        </w:rPr>
        <w:t>расп</w:t>
      </w:r>
      <w:proofErr w:type="spellEnd"/>
      <w:r w:rsidRPr="0094193F">
        <w:rPr>
          <w:color w:val="3B3B3B"/>
        </w:rPr>
        <w:t>." вместо "распоряжение", "пер." вместо "переведен". Также записи могут быть полностью или частично произведены с использованием технических средств путем переноса красителей или в виде оттиска штампа (печати).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5. Сведения о взысканиях в трудовую книжку не вносятся, за исключением случаев, когда дисциплинарным взысканием является увольнение.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color w:val="3B3B3B"/>
        </w:rPr>
        <w:t>II. Заполнение сведений о работнике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7.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8. 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center"/>
        <w:textAlignment w:val="baseline"/>
        <w:rPr>
          <w:color w:val="3B3B3B"/>
        </w:rPr>
      </w:pPr>
      <w:r w:rsidRPr="0094193F">
        <w:rPr>
          <w:color w:val="3B3B3B"/>
        </w:rPr>
        <w:t>III. Заполнение сведений о работе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9. 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книжку на основании соответствующего приказа (распоряжения) или иного решения работодателя не позднее 5 рабочих дней, а об увольнении - в день увольнения и должны точно соответствовать тексту приказа (распоряжения).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10.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Под этим заголовком в графе 1 ставится порядковый номер вносимой записи, в графе 2 указывается дата приема на работу.</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 работу.</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Если работнику в период работы присваивается новый разряд, класс, категория, классный чин, то об этом производится соответствующая запись.</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 xml:space="preserve">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w:t>
      </w:r>
      <w:proofErr w:type="gramStart"/>
      <w:r w:rsidRPr="0094193F">
        <w:rPr>
          <w:color w:val="3B3B3B"/>
        </w:rPr>
        <w:t>квалификации..</w:t>
      </w:r>
      <w:proofErr w:type="gramEnd"/>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FB3956">
        <w:rPr>
          <w:color w:val="3B3B3B"/>
          <w:highlight w:val="yellow"/>
        </w:rPr>
        <w:t>В случае признания временного перевода постоянным, в трудовую книжку вносится следующая запись: в графе 1 раздела "Сведения о работе" ставится порядковый номер записи, в графе 2 ставится дата фактичного начала исполнения работником обязанностей в связи с временным переводом, в графе 3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 в графу 4 заносятся дата и номер приказа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 xml:space="preserve">11.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случае, если работнику потребовалось внести запись о работе </w:t>
      </w:r>
      <w:proofErr w:type="gramStart"/>
      <w:r w:rsidRPr="0094193F">
        <w:rPr>
          <w:color w:val="3B3B3B"/>
        </w:rPr>
        <w:t>по совместительству</w:t>
      </w:r>
      <w:proofErr w:type="gramEnd"/>
      <w:r w:rsidRPr="0094193F">
        <w:rPr>
          <w:color w:val="3B3B3B"/>
        </w:rPr>
        <w:t xml:space="preserve"> и он при этом не осуществляет трудовую деятельность, для внесения такой записи он вправе обратиться к работодателю, у которого он осуществлял работу по совместительству.</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 xml:space="preserve">Записи о приеме на работу по совместительству, о переводе и об увольнении могут вносится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 по совместительству имела место до </w:t>
      </w:r>
      <w:r w:rsidRPr="0094193F">
        <w:rPr>
          <w:color w:val="3B3B3B"/>
          <w:sz w:val="28"/>
          <w:szCs w:val="28"/>
        </w:rPr>
        <w:t>трудоустройства</w:t>
      </w:r>
      <w:r w:rsidRPr="0094193F">
        <w:rPr>
          <w:color w:val="3B3B3B"/>
        </w:rPr>
        <w:t xml:space="preserve"> к работодателю, работа у которого для работника является основной.</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12.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13. Если за время работы работника наименование организации изменяется, то об этом отдельной строкой в графе 3 раздела "Сведения о работе" т рудовой книжки делается запись: "Организация (наименование, дата переименования) переименована (новое наименование организации)", а в графе 4 проставляется основание переименования - приказ (распоряжение) работодателя или иное решение, его дата и номер.</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14. 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Сведения о трудовой деятельности отдельных категорий зарегистрированных лиц, определенных приказом Минтруда от 24.08.2020 N 533н "Об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 (зарегистрирован Минюстом России 29.09.2020, регистрационный N 60072),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 если ведение (выдача) трудовых книжек предусмотрено федеральными законами, регулирующими прохождение соответствующего вида государственной службы.</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15. Записи в трудовую книжку о причинах увольнения (прекращения трудового договора) вносятся в точном соответствии с формулировками Трудового кодекса Российской Федерации или иного федерального закона в следующем порядке: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графе 1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16.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17. При прекращении трудового договора по основаниям, предусмотренным частью первой статьи 77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(пункты 4 и 10 части первой указанной статьи), в трудовую книжку вносится запись об увольнении (прекращении трудового договора) со ссылкой на соответствующий пункт части первой указанной статьи.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При расторжении трудового договора по инициативе работника по основаниям, предусмотренным законодательством Российской Федерации, с которыми связано предоставление определенных льгот и преимуществ, запись об увольнении (прекращении трудового договора) вносится в трудовую книжку с указанием этих оснований.</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18.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части первой статьи 81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 Российской Федерации.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19.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части первой статьи 83 Трудового кодекса Российской Федерации.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20. При прекращении трудового договора по другим основаниям, предусмотренным Трудовым кодексом Российской Федерации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Трудового кодекса Российской Федерации или иного федерального закона.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21.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графе 3 раздела "Сведения о работе" трудовой книжки указывается, в каком порядке осуществляется перевод: по просьбе работника или с его согласия, и наименование организации или индивидуального предпринимателя куда переводится работник.</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При приеме на новое место работы в трудовой книжке работника в графе 3 раздела "Сведения о работе" делается запись, предусмотренная абзацем 1 пункта 10 настоящего Порядка, с указанием при этом, что работник принят (назначен) в порядке перевода.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22.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пункт 5 части первой статьи 77 Трудового кодекса Российской Федерации".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На новом месте работы после указания полного наименования выборного органа, а также сокращенного наименования выборного органа (при его наличии) в графе 3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23. 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24.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соответствии с настоящим Порядком.</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IV. Заполнение сведений о награждении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25. В трудовую книжку вносятся следующие сведения о награждении (поощрении) за трудовые заслуги: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б) о награждении наградами Президента Российской Федерации и Правительства Российской Федерации, наградами федеральных и региональных органов власти, органов местного самоуправления, профсоюзов (в отношении членов профсоюзов);</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о награждении почетными грамотами, нагрудными знаками, значками, дипломами, производимом работодателями;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г)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26. Порядок внесения сведений о награждении следующий: в графе 3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V. Особенности заполнения дубликата трудовой книжки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27. Лицо, утратившее трудовую книжку, обязано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28. Дубликат трудовой книжки заполняется в соответствии с главами I-IV настоящего Порядка.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дубликат вносятся следующие сведения: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сведения о работнике: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а) фамилия, имя, отчество (при наличии), дата рождения;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сведения о работнике, указываемые на первой странице (титульном листе) трудовой книжки, заполняются следующим образом:</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фамилия, имя и отчество (при наличии)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запись об образовании (основное общее, среднее общее, среднее профессиональное, высшее (</w:t>
      </w:r>
      <w:proofErr w:type="spellStart"/>
      <w:r w:rsidRPr="0094193F">
        <w:rPr>
          <w:color w:val="3B3B3B"/>
        </w:rPr>
        <w:t>бакалавриат</w:t>
      </w:r>
      <w:proofErr w:type="spellEnd"/>
      <w:r w:rsidRPr="0094193F">
        <w:rPr>
          <w:color w:val="3B3B3B"/>
        </w:rPr>
        <w:t xml:space="preserve">, </w:t>
      </w:r>
      <w:proofErr w:type="spellStart"/>
      <w:r w:rsidRPr="0094193F">
        <w:rPr>
          <w:color w:val="3B3B3B"/>
        </w:rPr>
        <w:t>специалитет</w:t>
      </w:r>
      <w:proofErr w:type="spellEnd"/>
      <w:r w:rsidRPr="0094193F">
        <w:rPr>
          <w:color w:val="3B3B3B"/>
        </w:rPr>
        <w:t>, магистратура, подготовка кадров высшей квалификации) осуществляется только на основании документов об образовании (аттестата, удостоверения, диплома);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г) 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д) 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е) сведения об общем стаже работы работника до поступления к данному работодателю, подтвержденном документально;</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ж) сведения о работе и награждении (поощрении), которые вносились в трудовую книжку по последнему месту работы.</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29.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графу 3,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графе 2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Затем в графе 2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графе 4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В случае если утрата трудовой книжки произошла по вине работодателя, то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30.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или по месту работы, где была внесена последняя запись в трудовую книжку, на основании соответствующего документа.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исправление производится работодателем по новому месту работы или по месту работы, где была внесена последняя запись сведений о работе на основании соответствующего документа.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Трудовая книжка оформляется и возвращается владельцу.</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31.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а в случае их отсутствия - на основании показаний двух и более свидетелей, знающих работника по совместной с ним деятельности у одного работодателя или в одной системе.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Если работник до поступления к данному работодателю уже работал, комиссия принимает меры к получению документов, подтверждающих этот факт.</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Работодатель на основании акта комиссии выдает работнику дубликат трудовой книжки.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случае,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таком же порядке выдается дубликат трудовой книжки, если трудовая книжка (вкладыш) пришла в негодность (обгорела, порвана, испачкана).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При выдаче дубликата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VI. Вкладыш в трудовую книжку</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32. В случае если в трудовой книжке заполнены все страницы одного из разделов, трудовая книжка дополняется вкладышем, который является ее неотъемлемой частью, оформляется и ведется работодателем в том же порядке, что и трудовая книжка.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Вкладыш без трудовой книжки недействителен.</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 xml:space="preserve">33. При выдаче каждого вкладыша в трудовой книжке ставится штамп с </w:t>
      </w:r>
      <w:proofErr w:type="gramStart"/>
      <w:r w:rsidRPr="0094193F">
        <w:rPr>
          <w:color w:val="3B3B3B"/>
        </w:rPr>
        <w:t>надписью</w:t>
      </w:r>
      <w:proofErr w:type="gramEnd"/>
      <w:r w:rsidRPr="0094193F">
        <w:rPr>
          <w:color w:val="3B3B3B"/>
        </w:rPr>
        <w:t xml:space="preserve"> "Выдан вкладыш" и указывается серия и номер вкладыша.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Указанную запись необходимо делать на титульном листе трудовой книжки (стр. 1). В случае если на титульном листе отсутствует место для внесения записи о выдаче последующего вкладыша, такую запись следует сделать на титульном листе первого вкладыша.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B6238A">
      <w:pPr>
        <w:pStyle w:val="a3"/>
        <w:shd w:val="clear" w:color="auto" w:fill="FFFFFF"/>
        <w:spacing w:before="0" w:beforeAutospacing="0" w:after="0" w:afterAutospacing="0"/>
        <w:jc w:val="center"/>
        <w:textAlignment w:val="baseline"/>
        <w:rPr>
          <w:color w:val="3B3B3B"/>
        </w:rPr>
      </w:pPr>
      <w:r w:rsidRPr="0094193F">
        <w:rPr>
          <w:color w:val="3B3B3B"/>
        </w:rPr>
        <w:t>VII. Выдача трудовой книжки работнику</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34. По письменному заявлению работника работодатель обязан не позднее трех рабочих дней со дня подачи заявления выдать работнику трудовую книжку в целях его обязательного социального страхования (обеспечения), за исключением случаев, когда трудовая книжка на работника не ведется.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35. При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 работодатель выдает работнику трудовую книжку на руки не позднее трех рабочих дней со дня подачи такого заявления. В случае,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В графе 1 ставится порядковый номер вносимой записи, в графе 2 указывается дата выдачи трудовой книжки, в графе 3 делается запись "Подано письменное заявление о предоставлении сведений о трудовой деятельности в соответствии со статьей 66.1 Трудового кодекса Российской Федерации", в графе 4 указывается заявление работника, с указанием даты и номера его регистрации.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36.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Работодатель обязан выдать работнику в день увольнения (последний день работы) его трудовую книжку с внесенной в нее записью об увольнении.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37.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Со дня направления указанного уведомления работодатель освобождается от ответственности за задержку выдачи работнику трудовой книжки.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 xml:space="preserve">38. В случае смерти работника трудовая книжка после внесения в нее соответствующей записи о прекращении трудового договора выдается на руки члену семьи работника, предъявившему свидетельство о смерти под расписку </w:t>
      </w:r>
      <w:proofErr w:type="gramStart"/>
      <w:r w:rsidRPr="0094193F">
        <w:rPr>
          <w:color w:val="3B3B3B"/>
        </w:rPr>
        <w:t>или</w:t>
      </w:r>
      <w:proofErr w:type="gramEnd"/>
      <w:r w:rsidRPr="0094193F">
        <w:rPr>
          <w:color w:val="3B3B3B"/>
        </w:rPr>
        <w:t xml:space="preserve"> высылается по почте по письменному заявлению одного из родственников.</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B6238A">
      <w:pPr>
        <w:pStyle w:val="a3"/>
        <w:shd w:val="clear" w:color="auto" w:fill="FFFFFF"/>
        <w:spacing w:before="0" w:beforeAutospacing="0" w:after="0" w:afterAutospacing="0"/>
        <w:jc w:val="center"/>
        <w:textAlignment w:val="baseline"/>
        <w:rPr>
          <w:color w:val="3B3B3B"/>
        </w:rPr>
      </w:pPr>
      <w:bookmarkStart w:id="2" w:name="_GoBack"/>
      <w:r w:rsidRPr="0094193F">
        <w:rPr>
          <w:color w:val="3B3B3B"/>
        </w:rPr>
        <w:t>VIII. Учет и хранение трудовых книжек</w:t>
      </w:r>
    </w:p>
    <w:bookmarkEnd w:id="2"/>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bdr w:val="none" w:sz="0" w:space="0" w:color="auto" w:frame="1"/>
        </w:rPr>
        <w:t> </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39. С целью учета трудовых книжек, а также бланков трудовой книжки и вкладыша в нее у работодателей ведется:</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а) учет бланков трудовой книжки и вкладыша в нее;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б) учет трудовых книжек и вкладышей в них.</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40. Работодатель самостоятельно разрабатывает книги (журналы) по учету бланков трудовой книжки и вкладыша в нее и учета движения трудовых книжек.</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В книге (журнале) по учету бланков трудовой книжки и вкладыша в нее фиксируются сведения о всех операциях, связанных с получением и расходованием бланков трудовой книжки и вкладыша в нее, с указанием серии и номера каждого бланка.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41. Бланки трудовой книжки и вкладыша в нее хранятся у работодателя как документы строгой отчетности и выдаются лицу, ответственному за ведение трудовых книжек, по его заявке.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42. Работодатель обязан организовать работу по ведению, хранению, учету и выдаче трудовых книжек и вкладышей в них.</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Уполномоченное лицо, назначаемое приказом (распоряжением) работодателя, осуществляет ведение, хранение, учет и выдачу трудовых книжек.</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главой IV Федерального закона от 22.10.2004 N 125-ФЗ "Об архивном деле в Российской Федерации.</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44. Работодатель обязан постоянно иметь в наличии необходимое количество бланков трудовой книжки и вкладышей в нее.</w:t>
      </w:r>
    </w:p>
    <w:p w:rsidR="0094193F" w:rsidRPr="0094193F" w:rsidRDefault="0094193F" w:rsidP="0094193F">
      <w:pPr>
        <w:pStyle w:val="a3"/>
        <w:shd w:val="clear" w:color="auto" w:fill="FFFFFF"/>
        <w:spacing w:before="0" w:beforeAutospacing="0" w:after="0" w:afterAutospacing="0"/>
        <w:jc w:val="both"/>
        <w:textAlignment w:val="baseline"/>
        <w:rPr>
          <w:color w:val="3B3B3B"/>
        </w:rPr>
      </w:pPr>
      <w:r w:rsidRPr="0094193F">
        <w:rPr>
          <w:color w:val="3B3B3B"/>
        </w:rPr>
        <w:t>45. В случае неправильного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p>
    <w:p w:rsidR="00EE318B" w:rsidRPr="0094193F" w:rsidRDefault="006B3FBF" w:rsidP="0094193F">
      <w:pPr>
        <w:jc w:val="both"/>
        <w:rPr>
          <w:rFonts w:ascii="Times New Roman" w:hAnsi="Times New Roman" w:cs="Times New Roman"/>
          <w:sz w:val="24"/>
          <w:szCs w:val="24"/>
        </w:rPr>
      </w:pPr>
    </w:p>
    <w:sectPr w:rsidR="00EE318B" w:rsidRPr="00941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3F"/>
    <w:rsid w:val="006B3FBF"/>
    <w:rsid w:val="0094193F"/>
    <w:rsid w:val="00B6238A"/>
    <w:rsid w:val="00DF190F"/>
    <w:rsid w:val="00F31944"/>
    <w:rsid w:val="00FB3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6AD67-4DF6-49F9-9924-B5E6477C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9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4640</Words>
  <Characters>26449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costerina</dc:creator>
  <cp:keywords/>
  <dc:description/>
  <cp:lastModifiedBy>tatyana costerina</cp:lastModifiedBy>
  <cp:revision>1</cp:revision>
  <dcterms:created xsi:type="dcterms:W3CDTF">2021-06-03T14:01:00Z</dcterms:created>
  <dcterms:modified xsi:type="dcterms:W3CDTF">2021-06-03T14:39:00Z</dcterms:modified>
</cp:coreProperties>
</file>