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AF6FAE">
      <w:pPr>
        <w:pStyle w:val="5"/>
        <w:keepNext w:val="0"/>
        <w:keepLines w:val="0"/>
        <w:widowControl/>
        <w:suppressLineNumbers w:val="0"/>
        <w:jc w:val="right"/>
      </w:pPr>
      <w:r>
        <w:t>УТВЕРЖДЕНО</w:t>
      </w:r>
    </w:p>
    <w:p w14:paraId="7CD2F881">
      <w:pPr>
        <w:pStyle w:val="5"/>
        <w:keepNext w:val="0"/>
        <w:keepLines w:val="0"/>
        <w:widowControl/>
        <w:suppressLineNumbers w:val="0"/>
        <w:jc w:val="right"/>
      </w:pPr>
      <w:r>
        <w:t xml:space="preserve">ИП </w:t>
      </w:r>
      <w:r>
        <w:rPr>
          <w:lang w:val="ru-RU"/>
        </w:rPr>
        <w:t>Родионов</w:t>
      </w:r>
      <w:r>
        <w:rPr>
          <w:rFonts w:hint="default"/>
          <w:lang w:val="ru-RU"/>
        </w:rPr>
        <w:t xml:space="preserve"> М.В.</w:t>
      </w:r>
      <w:bookmarkStart w:id="0" w:name="_GoBack"/>
      <w:bookmarkEnd w:id="0"/>
    </w:p>
    <w:p w14:paraId="249DEBFA">
      <w:pPr>
        <w:pStyle w:val="5"/>
        <w:keepNext w:val="0"/>
        <w:keepLines w:val="0"/>
        <w:widowControl/>
        <w:suppressLineNumbers w:val="0"/>
        <w:jc w:val="right"/>
      </w:pPr>
      <w:r>
        <w:t xml:space="preserve">ИНН </w:t>
      </w:r>
      <w:r>
        <w:rPr>
          <w:rFonts w:hint="default" w:ascii="Times New Roman" w:hAnsi="Times New Roman" w:eastAsia="Times New Roman" w:cs="Times New Roman"/>
          <w:color w:val="000000"/>
          <w:sz w:val="24"/>
          <w:szCs w:val="24"/>
        </w:rPr>
        <w:t>910919652282</w:t>
      </w:r>
      <w:r>
        <w:t> </w:t>
      </w:r>
    </w:p>
    <w:p w14:paraId="69F7B559">
      <w:pPr>
        <w:pStyle w:val="5"/>
        <w:keepNext w:val="0"/>
        <w:keepLines w:val="0"/>
        <w:widowControl/>
        <w:suppressLineNumbers w:val="0"/>
        <w:jc w:val="right"/>
      </w:pPr>
      <w:r>
        <w:t xml:space="preserve">ОГРНПИ </w:t>
      </w:r>
      <w:r>
        <w:rPr>
          <w:rFonts w:hint="default" w:ascii="Times New Roman" w:hAnsi="Times New Roman" w:eastAsia="SimSun" w:cs="Times New Roman"/>
          <w:b w:val="0"/>
          <w:bCs w:val="0"/>
          <w:sz w:val="24"/>
          <w:szCs w:val="24"/>
        </w:rPr>
        <w:t>318910200025920</w:t>
      </w:r>
    </w:p>
    <w:p w14:paraId="49A975F9">
      <w:pPr>
        <w:pStyle w:val="5"/>
        <w:keepNext w:val="0"/>
        <w:keepLines w:val="0"/>
        <w:widowControl/>
        <w:suppressLineNumbers w:val="0"/>
        <w:jc w:val="right"/>
      </w:pPr>
      <w:r>
        <w:t>Редакция от 0</w:t>
      </w:r>
      <w:r>
        <w:rPr>
          <w:rFonts w:hint="default"/>
          <w:lang w:val="en-US"/>
        </w:rPr>
        <w:t>2</w:t>
      </w:r>
      <w:r>
        <w:t>.</w:t>
      </w:r>
      <w:r>
        <w:rPr>
          <w:rFonts w:hint="default"/>
          <w:lang w:val="en-US"/>
        </w:rPr>
        <w:t>0</w:t>
      </w:r>
      <w:r>
        <w:t>1.202</w:t>
      </w:r>
      <w:r>
        <w:rPr>
          <w:rFonts w:hint="default"/>
          <w:lang w:val="en-US"/>
        </w:rPr>
        <w:t>6</w:t>
      </w:r>
      <w:r>
        <w:t xml:space="preserve"> (редакция №</w:t>
      </w:r>
      <w:r>
        <w:rPr>
          <w:rFonts w:hint="default"/>
          <w:lang w:val="en-US"/>
        </w:rPr>
        <w:t>1</w:t>
      </w:r>
      <w:r>
        <w:t>)</w:t>
      </w:r>
    </w:p>
    <w:p w14:paraId="4FC6611C">
      <w:pPr>
        <w:pStyle w:val="5"/>
        <w:keepNext w:val="0"/>
        <w:keepLines w:val="0"/>
        <w:widowControl/>
        <w:suppressLineNumbers w:val="0"/>
        <w:jc w:val="right"/>
      </w:pPr>
    </w:p>
    <w:p w14:paraId="6244F32A">
      <w:pPr>
        <w:pStyle w:val="5"/>
        <w:keepNext w:val="0"/>
        <w:keepLines w:val="0"/>
        <w:widowControl/>
        <w:suppressLineNumbers w:val="0"/>
        <w:jc w:val="center"/>
      </w:pPr>
      <w:r>
        <w:rPr>
          <w:b/>
          <w:bCs/>
        </w:rPr>
        <w:t>ПОЛИТИКА </w:t>
      </w:r>
    </w:p>
    <w:p w14:paraId="472BAE68">
      <w:pPr>
        <w:pStyle w:val="5"/>
        <w:keepNext w:val="0"/>
        <w:keepLines w:val="0"/>
        <w:widowControl/>
        <w:suppressLineNumbers w:val="0"/>
        <w:jc w:val="center"/>
      </w:pPr>
      <w:r>
        <w:rPr>
          <w:b/>
          <w:bCs/>
        </w:rPr>
        <w:t>В ОТНОШЕНИИ ОБРАБОТКИ ПЕРСОНАЛЬНЫХ ДАННЫХ</w:t>
      </w:r>
    </w:p>
    <w:p w14:paraId="4E544154">
      <w:pPr>
        <w:pStyle w:val="5"/>
        <w:keepNext w:val="0"/>
        <w:keepLines w:val="0"/>
        <w:widowControl/>
        <w:suppressLineNumbers w:val="0"/>
        <w:jc w:val="center"/>
        <w:rPr>
          <w:rFonts w:ascii="Arial" w:hAnsi="Arial" w:eastAsia="Times New Roman" w:cs="Arial"/>
          <w:b/>
          <w:bCs/>
          <w:color w:val="000000"/>
          <w:sz w:val="20"/>
          <w:szCs w:val="20"/>
        </w:rPr>
      </w:pPr>
      <w:r>
        <w:rPr>
          <w:b/>
          <w:bCs/>
        </w:rPr>
        <w:t>ОБЩИЕ ПОЛОЖЕНИЯ</w:t>
      </w:r>
    </w:p>
    <w:p w14:paraId="27D83D76">
      <w:pPr>
        <w:spacing w:before="150" w:line="240" w:lineRule="auto"/>
        <w:rPr>
          <w:rFonts w:ascii="Arial" w:hAnsi="Arial" w:eastAsia="Times New Roman" w:cs="Arial"/>
          <w:b/>
          <w:bCs/>
          <w:color w:val="000000"/>
          <w:sz w:val="20"/>
          <w:szCs w:val="20"/>
        </w:rPr>
      </w:pPr>
      <w:r>
        <w:rPr>
          <w:rFonts w:ascii="Arial" w:hAnsi="Arial" w:eastAsia="Times New Roman" w:cs="Arial"/>
          <w:b/>
          <w:bCs/>
          <w:color w:val="000000"/>
          <w:sz w:val="20"/>
          <w:szCs w:val="20"/>
        </w:rPr>
        <w:t>Индивидуальный предприниматель РОДИОНОВ МАКСИМ ВЛАДИМИРОВИЧ</w:t>
      </w:r>
    </w:p>
    <w:p w14:paraId="03E77D97">
      <w:pPr>
        <w:spacing w:before="150" w:after="150" w:line="240" w:lineRule="auto"/>
        <w:rPr>
          <w:rFonts w:ascii="Arial" w:hAnsi="Arial" w:eastAsia="Times New Roman" w:cs="Arial"/>
          <w:color w:val="000000"/>
          <w:sz w:val="20"/>
          <w:szCs w:val="20"/>
        </w:rPr>
      </w:pPr>
      <w:r>
        <w:rPr>
          <w:rFonts w:ascii="Arial" w:hAnsi="Arial" w:eastAsia="Times New Roman" w:cs="Arial"/>
          <w:color w:val="000000"/>
          <w:sz w:val="20"/>
          <w:szCs w:val="20"/>
        </w:rPr>
        <w:t>В соответствии с ч. 4 ст. 22 Федерального закона от 27.07.2006 №152-ФЗ «О персональных данных» сведения, содержащиеся в реестре операторов, за исключением сведений о средствах обеспечения безопасности персональных данных при их обработке, являются общедоступными</w:t>
      </w:r>
    </w:p>
    <w:p w14:paraId="0EF08BA4">
      <w:pPr>
        <w:spacing w:line="240" w:lineRule="auto"/>
        <w:rPr>
          <w:rFonts w:ascii="Arial" w:hAnsi="Arial" w:eastAsia="Times New Roman" w:cs="Arial"/>
          <w:color w:val="000000"/>
          <w:sz w:val="20"/>
          <w:szCs w:val="20"/>
        </w:rPr>
      </w:pPr>
      <w:r>
        <w:rPr>
          <w:rFonts w:ascii="Arial" w:hAnsi="Arial" w:eastAsia="Times New Roman" w:cs="Arial"/>
          <w:color w:val="000000"/>
          <w:sz w:val="20"/>
          <w:szCs w:val="20"/>
        </w:rPr>
        <w:t> </w:t>
      </w:r>
    </w:p>
    <w:tbl>
      <w:tblPr>
        <w:tblStyle w:val="4"/>
        <w:tblW w:w="5000" w:type="pct"/>
        <w:tblInd w:w="0" w:type="dxa"/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941"/>
        <w:gridCol w:w="6858"/>
        <w:gridCol w:w="6"/>
      </w:tblGrid>
      <w:tr w14:paraId="03DA3C7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</w:trPr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2E58BA9B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Регистрационный номер</w:t>
            </w:r>
          </w:p>
        </w:tc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1D35828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91-25-036982</w:t>
            </w:r>
          </w:p>
        </w:tc>
      </w:tr>
      <w:tr w14:paraId="084C2B57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</w:trPr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32AEAD1D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Дата и основание внесения оператора в реестр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4E92E3E1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Приказ № 77 от 18.06.2025</w:t>
            </w:r>
          </w:p>
        </w:tc>
      </w:tr>
      <w:tr w14:paraId="0BC68A14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</w:trPr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7062D1D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Наименование оператора</w:t>
            </w:r>
          </w:p>
        </w:tc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1277446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Индивидуальный предприниматель РОДИОНОВ МАКСИМ ВЛАДИМИРОВИЧ</w:t>
            </w:r>
          </w:p>
        </w:tc>
      </w:tr>
      <w:tr w14:paraId="438F888B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</w:trPr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22FC90D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ИНН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4C35489F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910919652282</w:t>
            </w:r>
          </w:p>
        </w:tc>
      </w:tr>
      <w:tr w14:paraId="0F18C670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</w:trPr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1E7DB6F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Юридический адрес</w:t>
            </w:r>
          </w:p>
        </w:tc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34739CD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с. Красная Зорька,р-н. Симферопольский,Респ. Крым </w:t>
            </w:r>
          </w:p>
        </w:tc>
      </w:tr>
      <w:tr w14:paraId="234C8975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</w:trPr>
        <w:tc>
          <w:tcPr>
            <w:tcW w:w="1500" w:type="pct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2F183372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Дата регистрации уведомления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6CA4EAB8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28.05.2025</w:t>
            </w:r>
          </w:p>
        </w:tc>
      </w:tr>
      <w:tr w14:paraId="253C996B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</w:trPr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7336192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Субъекты РФ, на территории которых происходит обработка персональных данных</w:t>
            </w:r>
          </w:p>
        </w:tc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32A5A83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Республика Крым</w:t>
            </w:r>
          </w:p>
        </w:tc>
      </w:tr>
      <w:tr w14:paraId="5F2F4D3F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</w:trPr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6472B42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Наличие шифровальных средств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7621076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Не используется</w:t>
            </w:r>
          </w:p>
        </w:tc>
      </w:tr>
      <w:tr w14:paraId="3E030A2A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</w:trPr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2AE73BD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Трансграничная передача</w:t>
            </w:r>
          </w:p>
        </w:tc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2798C3E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Нет</w:t>
            </w:r>
          </w:p>
        </w:tc>
      </w:tr>
      <w:tr w14:paraId="3C70F053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</w:trPr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1FB54E8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Сведения о местонахождении БД (страны)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04C6D15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Россия</w:t>
            </w:r>
          </w:p>
        </w:tc>
      </w:tr>
      <w:tr w14:paraId="6D36F1FE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</w:trPr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7DD0C88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Описание мер, предусмотренных ст. 18.1 и 19 Закона</w:t>
            </w:r>
          </w:p>
        </w:tc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42EA53B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издание оператором документов, определяющих политику оператора в отношении обработки персональных данных; применение правовых, организационных и технических мер по обеспечению безопасности персональных данных; осуществление внутреннего контроля и (или) аудита соответствия обработки персональных данных законодательству; определение угроз безопасности персональных данных при их обработке в информационных системах персональных данных; обнаружение фактов несанкционированного доступа к персональным данным и принятие мер, в том числе мер по обнаружению, предупреждению и ликвидации последствий компьютерных атак на информационные системы персональных данных и по реагированию на компьютерные инциденты в них; контроль за принимаемыми мерами по обеспечению безопасности персональных данных и уровня защищенности информационных систем персональных данных; назначение ответственного лица за обработку персональных данных; установление правил доступа к персональным данным, обрабатываемым в информационной системе персональных данных, а также обеспечение регистрации и учета всех действий, совершаемых с персональными данными в информационной системе персональных данных; применение организационных и технических мер по обеспечению безопасности персональных данных при их обработке в информационных системах персональных данных, необходимых для выполнения требований к защите персональных данных, исполнение которых обеспечивает установленные Правительством Российской Федерации уровни защищенности персональных данных.</w:t>
            </w:r>
          </w:p>
        </w:tc>
      </w:tr>
      <w:tr w14:paraId="55D44FA2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" w:type="dxa"/>
        </w:trPr>
        <w:tc>
          <w:tcPr>
            <w:tcW w:w="1500" w:type="pct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01A9EE8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Дата начала обработки персональных данных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4793B7F8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12.03.2018</w:t>
            </w:r>
          </w:p>
        </w:tc>
      </w:tr>
      <w:tr w14:paraId="60DF2249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615ABE9B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Срок или условие прекращения обработки персональных данных</w:t>
            </w:r>
          </w:p>
        </w:tc>
        <w:tc>
          <w:tcPr>
            <w:tcW w:w="0" w:type="auto"/>
            <w:gridSpan w:val="2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5F7BA2C8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прекращение деятельности ИП.</w:t>
            </w:r>
          </w:p>
        </w:tc>
      </w:tr>
      <w:tr w14:paraId="24F648B5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00" w:type="pct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4093B64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Дата и основание внесения записи в реестр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10532B9F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Приказ № 77 от 18.06.2025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5B470CE9"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</w:tr>
    </w:tbl>
    <w:p w14:paraId="603B5C3C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Arial" w:hAnsi="Arial" w:eastAsia="Times New Roman" w:cs="Arial"/>
          <w:color w:val="000000"/>
          <w:sz w:val="20"/>
          <w:szCs w:val="20"/>
        </w:rPr>
        <w:br w:type="textWrapping"/>
      </w:r>
    </w:p>
    <w:p w14:paraId="33917142">
      <w:pPr>
        <w:spacing w:after="0" w:line="240" w:lineRule="auto"/>
        <w:outlineLvl w:val="1"/>
        <w:rPr>
          <w:rFonts w:ascii="Arial" w:hAnsi="Arial" w:eastAsia="Times New Roman" w:cs="Arial"/>
          <w:b/>
          <w:bCs/>
          <w:color w:val="000000"/>
          <w:sz w:val="20"/>
          <w:szCs w:val="20"/>
        </w:rPr>
      </w:pPr>
      <w:r>
        <w:rPr>
          <w:rFonts w:ascii="Arial" w:hAnsi="Arial" w:eastAsia="Times New Roman" w:cs="Arial"/>
          <w:b/>
          <w:bCs/>
          <w:color w:val="000000"/>
          <w:sz w:val="20"/>
          <w:szCs w:val="20"/>
        </w:rPr>
        <w:t>Цели обработки персональных данных</w:t>
      </w:r>
    </w:p>
    <w:tbl>
      <w:tblPr>
        <w:tblStyle w:val="4"/>
        <w:tblW w:w="5000" w:type="pct"/>
        <w:tblInd w:w="0" w:type="dxa"/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249"/>
        <w:gridCol w:w="7556"/>
      </w:tblGrid>
      <w:tr w14:paraId="39020264">
        <w:tblPrEx>
          <w:shd w:val="clear" w:color="auto" w:fill="FFFFFF"/>
        </w:tblPrEx>
        <w:tc>
          <w:tcPr>
            <w:tcW w:w="0" w:type="auto"/>
            <w:gridSpan w:val="2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1E467C08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sz w:val="20"/>
                <w:szCs w:val="20"/>
              </w:rPr>
              <w:t>№1</w:t>
            </w:r>
          </w:p>
        </w:tc>
      </w:tr>
      <w:tr w14:paraId="3B29E6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7022F98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цель обработки персональных данных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6749E47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Подготовка, заключение и исполнение гражданско-правового договора</w:t>
            </w:r>
          </w:p>
        </w:tc>
      </w:tr>
      <w:tr w14:paraId="578340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0A43C16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категории персональных данных</w:t>
            </w:r>
          </w:p>
        </w:tc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7BCF5AD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фамилия, имя, отчество,год рождения,месяц рождения,дата рождения,место рождения,пол,адрес электронной почты,адрес места жительства,адрес регистрации,номер телефона,ИНН,гражданство,данные документа, удостоверяющего личность,номер расчетного счета,номер лицевого счета,сведения о состоянии здоровья;</w:t>
            </w:r>
          </w:p>
        </w:tc>
      </w:tr>
      <w:tr w14:paraId="5D98C006">
        <w:tblPrEx>
          <w:shd w:val="clear" w:color="auto" w:fill="FFFFFF"/>
        </w:tblPrEx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7E6C5F6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категории субъектов, персональные данные которых обрабатываются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3EC748E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Работники,Контрагенты,Представители контрагентов,Клиенты,Посетители сайта;</w:t>
            </w:r>
          </w:p>
        </w:tc>
      </w:tr>
      <w:tr w14:paraId="31CCD3CF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31A83B6B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правовое основание обработки персональных данных</w:t>
            </w:r>
          </w:p>
        </w:tc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6AE42C0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обработка персональных данных осуществляется с согласия субъекта персональных данных на обработку его персональных данных,обработка персональных данных необходима для исполнения договора, стороной которого либо выгодоприобретателем или поручителем по которому является субъект персональных данных, а также для заключения договора по инициативе субъекта персональных данных или договора, по которому субъект персональных данных будет являться выгодоприобретателем или поручителем. Заключаемый с субъектом персональных данных договор не может содержать положения, ограничивающие права и свободы субъекта персональных данных, устанавливающие случаи обработки персональных данных несовершеннолетних, если иное не предусмотрено законодательством Российской Федерации, а также положения, допускающие в качестве условия заключения договора бездействие субъекта персональных данных;</w:t>
            </w:r>
          </w:p>
        </w:tc>
      </w:tr>
      <w:tr w14:paraId="14A7772B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022E992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перечень действий с персональными данными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2EF148A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Сбор,Запись,Систематизация,Накопление,Хранение,Уточнение (обновление, изменение),Использование,Удаление,Уничтожение;</w:t>
            </w:r>
          </w:p>
        </w:tc>
      </w:tr>
      <w:tr w14:paraId="0D7B83C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144CEF2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обработка персональных данных</w:t>
            </w:r>
          </w:p>
        </w:tc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57741E0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неавтоматизированная,без передачи по внутренней сети юридического лица,без передачи по сети Интернет</w:t>
            </w:r>
          </w:p>
        </w:tc>
      </w:tr>
      <w:tr w14:paraId="120BA20A">
        <w:tblPrEx>
          <w:shd w:val="clear" w:color="auto" w:fill="FFFFFF"/>
        </w:tblPrEx>
        <w:tc>
          <w:tcPr>
            <w:tcW w:w="0" w:type="auto"/>
            <w:gridSpan w:val="2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7F07097D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sz w:val="20"/>
                <w:szCs w:val="20"/>
              </w:rPr>
              <w:t>№2</w:t>
            </w:r>
          </w:p>
        </w:tc>
      </w:tr>
      <w:tr w14:paraId="34E4878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48AB3C4B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цель обработки персональных данных</w:t>
            </w:r>
          </w:p>
        </w:tc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4C1789C2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Ведение кадрового и бухгалтерского учета</w:t>
            </w:r>
          </w:p>
        </w:tc>
      </w:tr>
      <w:tr w14:paraId="3DB9287F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450D8B0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категории персональных данных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35A5BCB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фамилия, имя, отчество,год рождения,месяц рождения,дата рождения,место рождения,пол,адрес электронной почты,адрес места жительства,адрес регистрации,номер телефона,СНИЛС,ИНН,гражданство,данные документа, удостоверяющего личность,номер расчетного счета,номер лицевого счета,профессия;</w:t>
            </w:r>
          </w:p>
        </w:tc>
      </w:tr>
      <w:tr w14:paraId="0055978E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5E7ED8A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категории субъектов, персональные данные которых обрабатываются</w:t>
            </w:r>
          </w:p>
        </w:tc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690F27F8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Работники,Клиенты;</w:t>
            </w:r>
          </w:p>
        </w:tc>
      </w:tr>
      <w:tr w14:paraId="3CB7DB6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0BD81D2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правовое основание обработки персональных данных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55644C2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обработка персональных данных осуществляется с согласия субъекта персональных данных на обработку его персональных данных;</w:t>
            </w:r>
          </w:p>
        </w:tc>
      </w:tr>
      <w:tr w14:paraId="1B50EC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64A776B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перечень действий с персональными данными</w:t>
            </w:r>
          </w:p>
        </w:tc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4DC00F5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Сбор,Запись,Систематизация,Хранение,Уточнение (обновление, изменение),Использование,Удаление,Уничтожение;</w:t>
            </w:r>
          </w:p>
        </w:tc>
      </w:tr>
      <w:tr w14:paraId="59A8C31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7623DB8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обработка персональных данных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00E0388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неавтоматизированная,без передачи по внутренней сети юридического лица,без передачи по сети Интернет</w:t>
            </w:r>
          </w:p>
        </w:tc>
      </w:tr>
      <w:tr w14:paraId="707B8AA3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gridSpan w:val="2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2DA1024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sz w:val="20"/>
                <w:szCs w:val="20"/>
              </w:rPr>
              <w:t>№3</w:t>
            </w:r>
          </w:p>
        </w:tc>
      </w:tr>
      <w:tr w14:paraId="3CA08E9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59AAE87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цель обработки персональных данных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417EEE6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Продвижение товаров, работ, услуг на рынке</w:t>
            </w:r>
          </w:p>
        </w:tc>
      </w:tr>
      <w:tr w14:paraId="745A77F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449D436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категории персональных данных</w:t>
            </w:r>
          </w:p>
        </w:tc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525B2B3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фамилия, имя, отчество,год рождения,месяц рождения,дата рождения,место рождения,пол,адрес электронной почты,адрес места жительства,адрес регистрации,номер телефона,ИНН,гражданство,данные документа, удостоверяющего личность,номер расчетного счета,номер лицевого счета;</w:t>
            </w:r>
          </w:p>
        </w:tc>
      </w:tr>
      <w:tr w14:paraId="5C6F0018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091E9C0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категории субъектов, персональные данные которых обрабатываются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0A24B8A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Работники,Контрагенты,Клиенты,Посетители сайта;</w:t>
            </w:r>
          </w:p>
        </w:tc>
      </w:tr>
      <w:tr w14:paraId="53776517">
        <w:tblPrEx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51A4B26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правовое основание обработки персональных данных</w:t>
            </w:r>
          </w:p>
        </w:tc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51836E6B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обработка персональных данных осуществляется с согласия субъекта персональных данных на обработку его персональных данных;</w:t>
            </w:r>
          </w:p>
        </w:tc>
      </w:tr>
      <w:tr w14:paraId="74C3DA7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70460637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перечень действий с персональными данными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1929520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Сбор,Запись,Систематизация,Накопление,Хранение,Уточнение (обновление, изменение),Использование,Удаление,Уничтожение;</w:t>
            </w:r>
          </w:p>
        </w:tc>
      </w:tr>
      <w:tr w14:paraId="647BB7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097D435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обработка персональных данных</w:t>
            </w:r>
          </w:p>
        </w:tc>
        <w:tc>
          <w:tcPr>
            <w:tcW w:w="0" w:type="auto"/>
            <w:shd w:val="clear" w:color="auto" w:fill="F3F3F3"/>
            <w:tcMar>
              <w:top w:w="75" w:type="dxa"/>
              <w:left w:w="225" w:type="dxa"/>
              <w:bottom w:w="75" w:type="dxa"/>
              <w:right w:w="225" w:type="dxa"/>
            </w:tcMar>
          </w:tcPr>
          <w:p w14:paraId="11B819E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20"/>
                <w:szCs w:val="20"/>
              </w:rPr>
            </w:pPr>
            <w:r>
              <w:rPr>
                <w:rFonts w:ascii="Arial" w:hAnsi="Arial" w:eastAsia="Times New Roman" w:cs="Arial"/>
                <w:color w:val="000000"/>
                <w:sz w:val="20"/>
                <w:szCs w:val="20"/>
              </w:rPr>
              <w:t>неавтоматизированная,без передачи по внутренней сети юридического лица,без передачи по сети Интернет</w:t>
            </w:r>
          </w:p>
        </w:tc>
      </w:tr>
    </w:tbl>
    <w:p w14:paraId="3F380EE7"/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2"/>
  </w:compat>
  <w:rsids>
    <w:rsidRoot w:val="005D279D"/>
    <w:rsid w:val="005D279D"/>
    <w:rsid w:val="00762215"/>
    <w:rsid w:val="14870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paragraph" w:styleId="2">
    <w:name w:val="heading 2"/>
    <w:basedOn w:val="1"/>
    <w:link w:val="6"/>
    <w:qFormat/>
    <w:uiPriority w:val="9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6">
    <w:name w:val="Заголовок 2 Знак"/>
    <w:basedOn w:val="3"/>
    <w:link w:val="2"/>
    <w:uiPriority w:val="9"/>
    <w:rPr>
      <w:rFonts w:ascii="Times New Roman" w:hAnsi="Times New Roman" w:eastAsia="Times New Roman" w:cs="Times New Roman"/>
      <w:b/>
      <w:bCs/>
      <w:sz w:val="36"/>
      <w:szCs w:val="36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4</Pages>
  <Words>950</Words>
  <Characters>5416</Characters>
  <Lines>45</Lines>
  <Paragraphs>12</Paragraphs>
  <TotalTime>0</TotalTime>
  <ScaleCrop>false</ScaleCrop>
  <LinksUpToDate>false</LinksUpToDate>
  <CharactersWithSpaces>6354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2026-01-03T15:20:00Z</dcterms:created>
  <dc:creator>Пользователь Windows</dc:creator>
  <cp:lastModifiedBy>Lewka</cp:lastModifiedBy>
  <dcterms:modified xsi:type="dcterms:W3CDTF">2026-01-02T15:25:05Z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276EB508B69847428E95BEF9D4EEDAED_12</vt:lpwstr>
  </property>
</Properties>
</file>