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F39" w:rsidRDefault="007D4F39" w:rsidP="00DC03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0500" cy="8720667"/>
            <wp:effectExtent l="19050" t="0" r="0" b="0"/>
            <wp:docPr id="1" name="Рисунок 1" descr="C:\Users\ДДТ\Desktop\Оплата 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Оплата тру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8720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F39" w:rsidRDefault="007D4F39" w:rsidP="00DC03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4F39" w:rsidRDefault="007D4F39" w:rsidP="00DC03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92D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1.1 Настоящее Положение  разработано в соответствии с требованиями трудового законодательства и иных нормативно – правовых актов, содержащих нормы трудового права.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1.2 Положение определяет порядок и условия оплаты труда в муниципальном казенном учреждении дополнительного образования «Дом творчества» (далее МКУ ДТ).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1.3 Условия оплаты труда, включая размер оклада (ставки) работника (рабочего), компенсационных выплат и стимулирующих выплат являются обязательными для включения в трудовой договор.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1.4</w:t>
      </w:r>
      <w:r w:rsidR="00072788">
        <w:rPr>
          <w:rFonts w:ascii="Times New Roman" w:hAnsi="Times New Roman" w:cs="Times New Roman"/>
          <w:sz w:val="24"/>
          <w:szCs w:val="24"/>
        </w:rPr>
        <w:t xml:space="preserve"> </w:t>
      </w:r>
      <w:r w:rsidRPr="0065592D">
        <w:rPr>
          <w:rFonts w:ascii="Times New Roman" w:hAnsi="Times New Roman" w:cs="Times New Roman"/>
          <w:sz w:val="24"/>
          <w:szCs w:val="24"/>
        </w:rPr>
        <w:t xml:space="preserve"> При утверждении Правительством Российской Федерации базовых должностных окладов (базовых окладов) по профессиональным квалификационным группам (далее ПКТ), должностные оклады работников (рабочих), входящих в эти ПКТ, устанавливаются в размере не ниже соответствующих базовых должностных окладов (базовых окладов).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1.5 Оплата труда работников,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времени, либо в зависимости от выполненного объема работ. Определение размеров оклада по основной должности, а также по должности, занимаемой в порядке совместительства, производится раздельно по каждой должности (виду работ).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92D">
        <w:rPr>
          <w:rFonts w:ascii="Times New Roman" w:hAnsi="Times New Roman" w:cs="Times New Roman"/>
          <w:b/>
          <w:sz w:val="24"/>
          <w:szCs w:val="24"/>
        </w:rPr>
        <w:t>2. Порядок и условия оплаты труда работников МКУ ДТ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2.1 Должностные оклады работников МКУ ДТ устанавливаются на основе отнесения занимаемых ими должностей к квалификационным уровням профессиональных квалификационных групп (далее ПКГ), утвержденным приказом Министерства здравоохранения и социального развития Российской Федерации от 05.05.2008 №216н «Об утверждении профессиональных квалификационных групп должностей работников образования».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2D"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и должностные оклады работников МКУ ДТ</w:t>
      </w:r>
    </w:p>
    <w:tbl>
      <w:tblPr>
        <w:tblStyle w:val="a3"/>
        <w:tblW w:w="0" w:type="auto"/>
        <w:tblLook w:val="04A0"/>
      </w:tblPr>
      <w:tblGrid>
        <w:gridCol w:w="4748"/>
        <w:gridCol w:w="4823"/>
      </w:tblGrid>
      <w:tr w:rsidR="00DC03C1" w:rsidRPr="0065592D" w:rsidTr="00B50A38">
        <w:tc>
          <w:tcPr>
            <w:tcW w:w="5341" w:type="dxa"/>
          </w:tcPr>
          <w:p w:rsidR="00DC03C1" w:rsidRPr="0065592D" w:rsidRDefault="00DC03C1" w:rsidP="00B50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2D">
              <w:rPr>
                <w:rFonts w:ascii="Times New Roman" w:hAnsi="Times New Roman" w:cs="Times New Roman"/>
                <w:b/>
                <w:sz w:val="24"/>
                <w:szCs w:val="24"/>
              </w:rPr>
              <w:t>ПКТ</w:t>
            </w:r>
          </w:p>
        </w:tc>
        <w:tc>
          <w:tcPr>
            <w:tcW w:w="5341" w:type="dxa"/>
          </w:tcPr>
          <w:p w:rsidR="00DC03C1" w:rsidRPr="0065592D" w:rsidRDefault="00DC03C1" w:rsidP="00B50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2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оклад, руб</w:t>
            </w:r>
          </w:p>
        </w:tc>
      </w:tr>
      <w:tr w:rsidR="00DC03C1" w:rsidRPr="0065592D" w:rsidTr="00B50A38">
        <w:tc>
          <w:tcPr>
            <w:tcW w:w="10682" w:type="dxa"/>
            <w:gridSpan w:val="2"/>
          </w:tcPr>
          <w:p w:rsidR="00DC03C1" w:rsidRPr="0065592D" w:rsidRDefault="00DC03C1" w:rsidP="00B50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2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педагогических работников</w:t>
            </w:r>
          </w:p>
        </w:tc>
      </w:tr>
      <w:tr w:rsidR="00DC03C1" w:rsidRPr="0065592D" w:rsidTr="00B50A38">
        <w:tc>
          <w:tcPr>
            <w:tcW w:w="10682" w:type="dxa"/>
            <w:gridSpan w:val="2"/>
          </w:tcPr>
          <w:p w:rsidR="00DC03C1" w:rsidRPr="0065592D" w:rsidRDefault="00DC03C1" w:rsidP="00B50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2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Четвертый  квалификационный уровень</w:t>
            </w:r>
          </w:p>
        </w:tc>
      </w:tr>
      <w:tr w:rsidR="00DC03C1" w:rsidRPr="0065592D" w:rsidTr="00B50A38">
        <w:tc>
          <w:tcPr>
            <w:tcW w:w="5341" w:type="dxa"/>
          </w:tcPr>
          <w:p w:rsidR="00DC03C1" w:rsidRPr="0065592D" w:rsidRDefault="00DC03C1" w:rsidP="00B5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2D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5341" w:type="dxa"/>
          </w:tcPr>
          <w:p w:rsidR="00DC03C1" w:rsidRPr="0065592D" w:rsidRDefault="00DC03C1" w:rsidP="005C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1A19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</w:tr>
    </w:tbl>
    <w:p w:rsidR="00DC03C1" w:rsidRPr="0065592D" w:rsidRDefault="00DC03C1" w:rsidP="00DC0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52"/>
        <w:gridCol w:w="4819"/>
      </w:tblGrid>
      <w:tr w:rsidR="00DC03C1" w:rsidRPr="0065592D" w:rsidTr="00B50A38">
        <w:tc>
          <w:tcPr>
            <w:tcW w:w="5341" w:type="dxa"/>
          </w:tcPr>
          <w:p w:rsidR="00DC03C1" w:rsidRPr="0065592D" w:rsidRDefault="00DC03C1" w:rsidP="00B50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2D">
              <w:rPr>
                <w:rFonts w:ascii="Times New Roman" w:hAnsi="Times New Roman" w:cs="Times New Roman"/>
                <w:b/>
                <w:sz w:val="24"/>
                <w:szCs w:val="24"/>
              </w:rPr>
              <w:t>ПКТ</w:t>
            </w:r>
          </w:p>
        </w:tc>
        <w:tc>
          <w:tcPr>
            <w:tcW w:w="5341" w:type="dxa"/>
          </w:tcPr>
          <w:p w:rsidR="00DC03C1" w:rsidRPr="0065592D" w:rsidRDefault="00DC03C1" w:rsidP="00B50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2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оклад, руб</w:t>
            </w:r>
          </w:p>
        </w:tc>
      </w:tr>
      <w:tr w:rsidR="00DC03C1" w:rsidRPr="0065592D" w:rsidTr="00B50A38">
        <w:tc>
          <w:tcPr>
            <w:tcW w:w="10682" w:type="dxa"/>
            <w:gridSpan w:val="2"/>
          </w:tcPr>
          <w:p w:rsidR="00DC03C1" w:rsidRPr="0065592D" w:rsidRDefault="00DC03C1" w:rsidP="00B50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2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педагогических работников</w:t>
            </w:r>
          </w:p>
        </w:tc>
      </w:tr>
      <w:tr w:rsidR="00DC03C1" w:rsidRPr="0065592D" w:rsidTr="00B50A38">
        <w:tc>
          <w:tcPr>
            <w:tcW w:w="10682" w:type="dxa"/>
            <w:gridSpan w:val="2"/>
          </w:tcPr>
          <w:p w:rsidR="00DC03C1" w:rsidRPr="0065592D" w:rsidRDefault="00DC03C1" w:rsidP="00B50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2D">
              <w:rPr>
                <w:rFonts w:ascii="Times New Roman" w:hAnsi="Times New Roman" w:cs="Times New Roman"/>
                <w:b/>
                <w:sz w:val="24"/>
                <w:szCs w:val="24"/>
              </w:rPr>
              <w:t>Третий квалификационный уровень</w:t>
            </w:r>
          </w:p>
        </w:tc>
      </w:tr>
      <w:tr w:rsidR="00DC03C1" w:rsidRPr="0065592D" w:rsidTr="00B50A38">
        <w:tc>
          <w:tcPr>
            <w:tcW w:w="5341" w:type="dxa"/>
          </w:tcPr>
          <w:p w:rsidR="00DC03C1" w:rsidRPr="0065592D" w:rsidRDefault="00DC03C1" w:rsidP="00B5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2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5341" w:type="dxa"/>
          </w:tcPr>
          <w:p w:rsidR="00DC03C1" w:rsidRPr="0065592D" w:rsidRDefault="00DC03C1" w:rsidP="005C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1A1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09"/>
        <w:gridCol w:w="4762"/>
      </w:tblGrid>
      <w:tr w:rsidR="00DC03C1" w:rsidRPr="0065592D" w:rsidTr="00B50A38">
        <w:tc>
          <w:tcPr>
            <w:tcW w:w="5341" w:type="dxa"/>
          </w:tcPr>
          <w:p w:rsidR="00DC03C1" w:rsidRPr="0065592D" w:rsidRDefault="00DC03C1" w:rsidP="00B50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2D">
              <w:rPr>
                <w:rFonts w:ascii="Times New Roman" w:hAnsi="Times New Roman" w:cs="Times New Roman"/>
                <w:b/>
                <w:sz w:val="24"/>
                <w:szCs w:val="24"/>
              </w:rPr>
              <w:t>ПКТ</w:t>
            </w:r>
          </w:p>
        </w:tc>
        <w:tc>
          <w:tcPr>
            <w:tcW w:w="5341" w:type="dxa"/>
          </w:tcPr>
          <w:p w:rsidR="00DC03C1" w:rsidRPr="0065592D" w:rsidRDefault="00DC03C1" w:rsidP="00B50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2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оклад, руб</w:t>
            </w:r>
          </w:p>
        </w:tc>
      </w:tr>
      <w:tr w:rsidR="00DC03C1" w:rsidRPr="0065592D" w:rsidTr="00B50A38">
        <w:tc>
          <w:tcPr>
            <w:tcW w:w="10682" w:type="dxa"/>
            <w:gridSpan w:val="2"/>
          </w:tcPr>
          <w:p w:rsidR="00DC03C1" w:rsidRPr="0065592D" w:rsidRDefault="00DC03C1" w:rsidP="00B50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2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DC03C1" w:rsidRPr="0065592D" w:rsidTr="00B50A38">
        <w:tc>
          <w:tcPr>
            <w:tcW w:w="10682" w:type="dxa"/>
            <w:gridSpan w:val="2"/>
          </w:tcPr>
          <w:p w:rsidR="00DC03C1" w:rsidRPr="0065592D" w:rsidRDefault="00DC03C1" w:rsidP="00B50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2D">
              <w:rPr>
                <w:rFonts w:ascii="Times New Roman" w:hAnsi="Times New Roman" w:cs="Times New Roman"/>
                <w:b/>
                <w:sz w:val="24"/>
                <w:szCs w:val="24"/>
              </w:rPr>
              <w:t>Второй квалификационный уровень</w:t>
            </w:r>
          </w:p>
        </w:tc>
      </w:tr>
      <w:tr w:rsidR="00DC03C1" w:rsidRPr="0065592D" w:rsidTr="00B50A38">
        <w:tc>
          <w:tcPr>
            <w:tcW w:w="5341" w:type="dxa"/>
          </w:tcPr>
          <w:p w:rsidR="00DC03C1" w:rsidRPr="0065592D" w:rsidRDefault="00DC03C1" w:rsidP="00B5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2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5341" w:type="dxa"/>
          </w:tcPr>
          <w:p w:rsidR="00DC03C1" w:rsidRPr="0065592D" w:rsidRDefault="00DC03C1" w:rsidP="005C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1A19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</w:tr>
    </w:tbl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072788">
        <w:rPr>
          <w:rFonts w:ascii="Times New Roman" w:hAnsi="Times New Roman" w:cs="Times New Roman"/>
          <w:sz w:val="24"/>
          <w:szCs w:val="24"/>
        </w:rPr>
        <w:t xml:space="preserve"> </w:t>
      </w:r>
      <w:r w:rsidRPr="0065592D">
        <w:rPr>
          <w:rFonts w:ascii="Times New Roman" w:hAnsi="Times New Roman" w:cs="Times New Roman"/>
          <w:sz w:val="24"/>
          <w:szCs w:val="24"/>
        </w:rPr>
        <w:t xml:space="preserve"> В зависимости от условий труда, работникам устанавливаются следующие компенсационные выплаты: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2.2.1  доплата за совмещение профессий (должностей);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 xml:space="preserve">2.2.2  доплата за расширение зоны обслуживания; 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2.2.3  доплата за увеличение объема работы или исполнение обязанностей временно отсутствующего работника без освобождения от  работы, определенной трудовым договором;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2.2.4  доплата за сверхурочную работу;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2.2.5  надбавка за квалификационную категорию.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2.3 Порядок и условия установления компенсационных выплат предусмотрены в разделе 4 настоящего Положения.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 xml:space="preserve">2.4 </w:t>
      </w:r>
      <w:r w:rsidR="00072788">
        <w:rPr>
          <w:rFonts w:ascii="Times New Roman" w:hAnsi="Times New Roman" w:cs="Times New Roman"/>
          <w:sz w:val="24"/>
          <w:szCs w:val="24"/>
        </w:rPr>
        <w:t xml:space="preserve"> </w:t>
      </w:r>
      <w:r w:rsidRPr="0065592D">
        <w:rPr>
          <w:rFonts w:ascii="Times New Roman" w:hAnsi="Times New Roman" w:cs="Times New Roman"/>
          <w:sz w:val="24"/>
          <w:szCs w:val="24"/>
        </w:rPr>
        <w:t>С целью стимулирования к качественному результату труда, к повышению эффективности осуществления профессиональной деятельности и поощрения за выполненную работу, работникам устанавливаются следующие стимулирующие выплаты: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2.4.1  персональная поощрительная выплата;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2.4.2  поощрительная выплата по итогам работы (полугодие);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2.4.3  единовременная поощрительная выплата;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2.4.4  поощрительная выплата за высокие результаты работы.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2.5 Порядок и условия установления стимулирующих выплат предусмотрены в разделе 5 настоящего Положения.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92D">
        <w:rPr>
          <w:rFonts w:ascii="Times New Roman" w:hAnsi="Times New Roman" w:cs="Times New Roman"/>
          <w:b/>
          <w:sz w:val="24"/>
          <w:szCs w:val="24"/>
        </w:rPr>
        <w:t>3. Порядок и условия оплаты труда работников обслуживающего персонала МКУ ДТ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3.1 Оклады рабочих устанавливаются в зависимости от разрядов работ в соответствии с Единым тарифно-квалификационным справочником работ профессий рабочих (далее – ЕТКС)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C03C1" w:rsidRPr="0065592D" w:rsidTr="00B50A38">
        <w:tc>
          <w:tcPr>
            <w:tcW w:w="5341" w:type="dxa"/>
          </w:tcPr>
          <w:p w:rsidR="00DC03C1" w:rsidRPr="0065592D" w:rsidRDefault="00DC03C1" w:rsidP="00B50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2D">
              <w:rPr>
                <w:rFonts w:ascii="Times New Roman" w:hAnsi="Times New Roman" w:cs="Times New Roman"/>
                <w:b/>
                <w:sz w:val="24"/>
                <w:szCs w:val="24"/>
              </w:rPr>
              <w:t>Разряд работ</w:t>
            </w:r>
          </w:p>
        </w:tc>
        <w:tc>
          <w:tcPr>
            <w:tcW w:w="5341" w:type="dxa"/>
          </w:tcPr>
          <w:p w:rsidR="00DC03C1" w:rsidRPr="0065592D" w:rsidRDefault="00DC03C1" w:rsidP="00B50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2D">
              <w:rPr>
                <w:rFonts w:ascii="Times New Roman" w:hAnsi="Times New Roman" w:cs="Times New Roman"/>
                <w:b/>
                <w:sz w:val="24"/>
                <w:szCs w:val="24"/>
              </w:rPr>
              <w:t>Оклад, руб.</w:t>
            </w:r>
          </w:p>
        </w:tc>
      </w:tr>
      <w:tr w:rsidR="00DC03C1" w:rsidRPr="0065592D" w:rsidTr="00B50A38">
        <w:tc>
          <w:tcPr>
            <w:tcW w:w="5341" w:type="dxa"/>
          </w:tcPr>
          <w:p w:rsidR="00DC03C1" w:rsidRPr="0065592D" w:rsidRDefault="00DC03C1" w:rsidP="00B5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2D">
              <w:rPr>
                <w:rFonts w:ascii="Times New Roman" w:hAnsi="Times New Roman" w:cs="Times New Roman"/>
                <w:sz w:val="24"/>
                <w:szCs w:val="24"/>
              </w:rPr>
              <w:t>1 разряд работ</w:t>
            </w:r>
          </w:p>
        </w:tc>
        <w:tc>
          <w:tcPr>
            <w:tcW w:w="5341" w:type="dxa"/>
          </w:tcPr>
          <w:p w:rsidR="00DC03C1" w:rsidRPr="0065592D" w:rsidRDefault="00F22640" w:rsidP="005C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1A1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3.2 В зависимости от условий труда устанавливаются следующие компенсационные выплаты: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3.2.1  доплата работникам, занятым в опасных для здоровья и тяжелых условиях труда;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3.2.2  доплата за совмещение профессий;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3.2.3  доплата за расширение зоны обслуживания;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3.2.4  доплата за увеличение объема работы или исполнение обязанностей временно отсутствующего работника без освобождения от  работы, определенной трудовым договором;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3.2.5  доплата за работу в ночное время;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3.2.6  доплата за работу в выходные и нерабочие праздничные дни;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3.2.7  доплата за сверхурочную работу.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3.3 Порядок и условия установления компенсационных выплат предусмотрены в разделе 4 настоящего Положения.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3.4 С целью стимулирования к качественному результату труда, к повышению эффективности осуществления профессиональной деятельности и поощрения за выполненную работу, работникам устанавливаются следующие стимулирующие выплаты: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3.4.1  персональная поощрительная выплата;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lastRenderedPageBreak/>
        <w:t>3.4.2  поощрительная выплата по итогам работы (полугодие);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3.4.3  единовременная поощрительная выплата.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3.5 Порядок и установление стимулирующих выплат предусмотрены в разделе 5 настоящего Положения.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92D">
        <w:rPr>
          <w:rFonts w:ascii="Times New Roman" w:hAnsi="Times New Roman" w:cs="Times New Roman"/>
          <w:b/>
          <w:sz w:val="24"/>
          <w:szCs w:val="24"/>
        </w:rPr>
        <w:t>4. Порядок и условия установления компенсационных выплат.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4.1 К компенсационным выплатам относятся следующие доплаты и надбавки: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4.1.1  доплата работникам, занятым в опасных для здоровья и тяжелых условиях труда;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4.1.2  доплата за особые условия труда;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4.1.3  доплата за совмещение профессий;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4.1.4  доплата за расширение зоны обслуживания;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4.1.5 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4.1.6  доплата за сверхурочную работу;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4.1.7  доплата за работу в ночное время;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4.1.8  доплата за работу в выходные и нерабочие праздничные дни;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4.1.9  надбавка за квалификационную категорию.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4.2 Компенсационные выплаты устанавливаются к должностным окладам работников (рабочих) МКУ ДТ без учета других доплат и надбавок к должностному окладу.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Перечень компенсационных выплат, размер и условия их осуществления фиксируется в коллективных договорах, соглашениях, локальных нормативных актах.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 xml:space="preserve">4.3 Доплата работникам (рабочим), занятым в опасных для здоровья и тяжелых условиях труда, устанавливается по результатам аттестации рабочих мест. 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Работникам (рабочим), занятым на тяжелых работах и работах с вредными условиями труда, производится доплата в размере 4 процента к окладу за фактически отработанное время в этих условиях.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На момент введения новой системы оплаты труда, указанная доплата устанавливается всем работникам, получившим ее ранее. При этом директор МКУ ДТ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труда. Если по итогам аттестации рабочее место признается безопасным, то указанная доплата в государственном учреждении снимается.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4.4 Доплата за совмещение профессий (должностей) устанавливается работнику (рабочему)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4.5 Доплата за расширение зоны обслуживания устанавливается работнику (рабочему) при расширении зоны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 xml:space="preserve">4.6 Доплата за увеличение объема работы или исполнение обязанностей временно отсутствующего работника (рабочего) без освобождения от работы, определенной трудовым договором, устанавливается работнику (рабочему) в случае увеличения установленного ему объема работы или возложения на него обязанностей отсутствующего работника без освобождения от работы, определенной трудовым договором. Размер </w:t>
      </w:r>
      <w:r w:rsidRPr="0065592D">
        <w:rPr>
          <w:rFonts w:ascii="Times New Roman" w:hAnsi="Times New Roman" w:cs="Times New Roman"/>
          <w:sz w:val="24"/>
          <w:szCs w:val="24"/>
        </w:rPr>
        <w:lastRenderedPageBreak/>
        <w:t>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 xml:space="preserve">4.7 Доплата в ночное время производится работникам (рабочим) за каждый час работы в ночное время в размере 20% часовой ставки должностного оклада, рассчитанного за каждый час работы в ночное время. Ночным считается время с 22 часов до 6 часов. 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4.8 Доплата за работу в выходные и нерабочие праздничные дни производится работникам (рабочим), привлекаемым к работе в выходные и нерабочие праздничные дни, в соответствии со статьей 153 Трудового Кодекса Российской Федерации.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4.9 Доплата за сверхурочную работу работникам (рабочим), привлекаемым к сверхурочной работе в соответствии с трудовым законодательством производиться за первые два часа работы не менее чем в полуторном размере, за последующие часы не менее чем в двойном размере.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Конкретные размеры оплаты труда за сверхурочную работу определяется коллективным договором, локально – нормативными актами или трудовым договором.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 xml:space="preserve">4.10 Надбавка за квалификационную категорию устанавливается с целью стимулирования работников к повышению профессиональной квалификации и компетентности в следующих размерах: 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70% от должностного оклада при наличии высшей квалификационной категории;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40%  от должностного оклада при наличии первой квалификационной категории.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92D">
        <w:rPr>
          <w:rFonts w:ascii="Times New Roman" w:hAnsi="Times New Roman" w:cs="Times New Roman"/>
          <w:b/>
          <w:sz w:val="24"/>
          <w:szCs w:val="24"/>
        </w:rPr>
        <w:t>5. Порядок и условия установления стимулирующих выплат.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5.1 К стимулирующим выплатам относятся следующие доплаты, надбавки и иные поощрительные выплаты: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5.1.1 персональная поощрительная выплата;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5.1.2 поощрительная выплата по итогам работы (за полугодие);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5.1.3 единовременная поощрительная выплата;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5.1.4 поощрительная выплата за высокие результаты работы.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5.2 Поощрительные выплаты, указанные в подпунктах 5.1.1-5.1.4 пункта 5.1 устанавливаются по решению директора МКУ ДТ.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5.2.1 работникам (рабочим), подчиненным директору МКУ ДТ непосредственно;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5.2.2 работникам (рабочим), занятым в МКУ ДТ, по представлению директора МКУ ДТ.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5.3 Персональная поощрительная выплата устанавливается работнику (рабочему) с учетом уровня профессиональной подготовки, сложности, важности выполняемой работы, степени самостоятельности , ответственности при выполнении задач и других факторов.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Выплата устанавливается на определенный срок в течение календарного года. Решение об ее установлении и размерах, но не более чем 200% от должностного оклада, принимается директором МКУ ДТ с учетом обеспечения указанных выплат финансовыми средствами.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88" w:rsidRPr="0065592D" w:rsidRDefault="00DC03C1" w:rsidP="0007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 xml:space="preserve">5.4 Поощрительная выплата по итогам работы (за полугодие) работникам (рабочим) МКУ ДТ устанавливается с учетом выполнения качественных и количественных показателей, входящих в систему оценки деятельности МКУ ДТ, которая устанавливается локально-нормативными актами МКУ ДТ, в пределах утвержденного фонда оплаты труда, после оценки деятельности учреждения в целом </w:t>
      </w:r>
      <w:r w:rsidR="00072788">
        <w:rPr>
          <w:rFonts w:ascii="Times New Roman" w:hAnsi="Times New Roman" w:cs="Times New Roman"/>
          <w:sz w:val="24"/>
          <w:szCs w:val="24"/>
        </w:rPr>
        <w:t>Отделом образования Рамешковского муниципального округа</w:t>
      </w:r>
      <w:r w:rsidR="00072788" w:rsidRPr="0065592D">
        <w:rPr>
          <w:rFonts w:ascii="Times New Roman" w:hAnsi="Times New Roman" w:cs="Times New Roman"/>
          <w:sz w:val="24"/>
          <w:szCs w:val="24"/>
        </w:rPr>
        <w:t>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lastRenderedPageBreak/>
        <w:t>5.5 Единовременная поощрительная выплата работникам  (рабочим ) МКУ ДТ устанавливается за: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- достижение высоких результатов в работе в соответствующий период;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- за выполнение особо важных или срочных работ (на срок их проведения);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- за качество выполняемых работ , проведение качественной подготовки и проведения мероприятий, связанных с уставной деятельностью учреждения.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5.6 Поощрительная выплата за высокие результаты работы выплачивается с целью поощрения работников (рабочих) МКУ ДТ.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Основными показателями для осуществления указанных выплат при оценке труда работников (рабочих) являются: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- эффективность и качество процесса обучения;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- эффективность и качество процесса воспитания обучающихся;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- эффективности обеспечения условий, направленных на здоровье – сбережение и безопасность образовательного процесса;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- использование информационных технологий в процессе обучения и воспитания;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>- доступность качества образования.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 xml:space="preserve">    Поощрительная выплата за высокие результаты работы осуществляется в пределах выделенных бюджетных ассигнований на оплату труда работников (рабочих) МКУ ДТ, экономии по фонду заработной платы, безвозмездных поступлений и средств от предпринимательской деятельности.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 xml:space="preserve">    Размер поощрительных выплат за высокие результаты работы выплачиваются с целью поощрения работников (рабочих) МКУ ДТ, период действия этих выплат и список сотрудников, получающих данные выплаты, определяет директор МКУ ДТ на основании Положения, согласованного с </w:t>
      </w:r>
      <w:r w:rsidR="00072788">
        <w:rPr>
          <w:rFonts w:ascii="Times New Roman" w:hAnsi="Times New Roman" w:cs="Times New Roman"/>
          <w:sz w:val="24"/>
          <w:szCs w:val="24"/>
        </w:rPr>
        <w:t>Отделом образования Рамешковского муниципального округа</w:t>
      </w:r>
      <w:r w:rsidRPr="0065592D">
        <w:rPr>
          <w:rFonts w:ascii="Times New Roman" w:hAnsi="Times New Roman" w:cs="Times New Roman"/>
          <w:sz w:val="24"/>
          <w:szCs w:val="24"/>
        </w:rPr>
        <w:t>, с учетом мнения Совета трудового коллектива.</w:t>
      </w:r>
    </w:p>
    <w:p w:rsidR="00072788" w:rsidRPr="0065592D" w:rsidRDefault="00DC03C1" w:rsidP="0007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 xml:space="preserve">    Регламент распределения выплат утверждается локальным актом МКУ ДТ на основе примерного муниципального регламента </w:t>
      </w:r>
      <w:r w:rsidR="00072788">
        <w:rPr>
          <w:rFonts w:ascii="Times New Roman" w:hAnsi="Times New Roman" w:cs="Times New Roman"/>
          <w:sz w:val="24"/>
          <w:szCs w:val="24"/>
        </w:rPr>
        <w:t>Отдела образования Рамешковского муниципального округа</w:t>
      </w:r>
      <w:r w:rsidR="00072788" w:rsidRPr="0065592D">
        <w:rPr>
          <w:rFonts w:ascii="Times New Roman" w:hAnsi="Times New Roman" w:cs="Times New Roman"/>
          <w:sz w:val="24"/>
          <w:szCs w:val="24"/>
        </w:rPr>
        <w:t>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 xml:space="preserve">   Размер поощрительных выплат за высокие результаты работы может устанавливаться как в абсолютном значении, так и в процентном отношении к должностному окладу. Максимальным размером выплаты не ограничены.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 xml:space="preserve">   Установление условий выплат, не связанных с результативностью труда не допускается.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 xml:space="preserve">   Объем части фонда оплаты труда МКУ ДТ, направленной на эти цели, определяется ежегодно </w:t>
      </w:r>
      <w:r w:rsidR="00072788">
        <w:rPr>
          <w:rFonts w:ascii="Times New Roman" w:hAnsi="Times New Roman" w:cs="Times New Roman"/>
          <w:sz w:val="24"/>
          <w:szCs w:val="24"/>
        </w:rPr>
        <w:t>Отделом образования Рамешковского муниципального округа</w:t>
      </w:r>
      <w:r w:rsidRPr="0065592D">
        <w:rPr>
          <w:rFonts w:ascii="Times New Roman" w:hAnsi="Times New Roman" w:cs="Times New Roman"/>
          <w:sz w:val="24"/>
          <w:szCs w:val="24"/>
        </w:rPr>
        <w:t>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92D">
        <w:rPr>
          <w:rFonts w:ascii="Times New Roman" w:hAnsi="Times New Roman" w:cs="Times New Roman"/>
          <w:b/>
          <w:sz w:val="24"/>
          <w:szCs w:val="24"/>
        </w:rPr>
        <w:t>6. Планирование фонда оплаты труда МКУ ДТ.</w:t>
      </w:r>
    </w:p>
    <w:p w:rsidR="00DC03C1" w:rsidRPr="0065592D" w:rsidRDefault="00DC03C1" w:rsidP="00D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 xml:space="preserve">    Фонд оплаты труда МКУ ДТ п</w:t>
      </w:r>
      <w:r w:rsidR="00072788">
        <w:rPr>
          <w:rFonts w:ascii="Times New Roman" w:hAnsi="Times New Roman" w:cs="Times New Roman"/>
          <w:sz w:val="24"/>
          <w:szCs w:val="24"/>
        </w:rPr>
        <w:t>гт</w:t>
      </w:r>
      <w:r w:rsidRPr="0065592D">
        <w:rPr>
          <w:rFonts w:ascii="Times New Roman" w:hAnsi="Times New Roman" w:cs="Times New Roman"/>
          <w:sz w:val="24"/>
          <w:szCs w:val="24"/>
        </w:rPr>
        <w:t>. Рамешки, Тверской области определяется в пределах бюджетных ассигнований, предусмотренных на оплату труда в МКУ ДТ.</w:t>
      </w:r>
    </w:p>
    <w:p w:rsidR="00072788" w:rsidRPr="0065592D" w:rsidRDefault="00DC03C1" w:rsidP="0007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2D">
        <w:rPr>
          <w:rFonts w:ascii="Times New Roman" w:hAnsi="Times New Roman" w:cs="Times New Roman"/>
          <w:sz w:val="24"/>
          <w:szCs w:val="24"/>
        </w:rPr>
        <w:t xml:space="preserve">    Порядок планирования фонда оплаты труда в МКУ ДТ утверждается нормативно-правовым актом </w:t>
      </w:r>
      <w:r w:rsidR="00072788">
        <w:rPr>
          <w:rFonts w:ascii="Times New Roman" w:hAnsi="Times New Roman" w:cs="Times New Roman"/>
          <w:sz w:val="24"/>
          <w:szCs w:val="24"/>
        </w:rPr>
        <w:t>Отделом образования Рамешковского муниципального округа</w:t>
      </w:r>
      <w:r w:rsidR="00072788" w:rsidRPr="0065592D">
        <w:rPr>
          <w:rFonts w:ascii="Times New Roman" w:hAnsi="Times New Roman" w:cs="Times New Roman"/>
          <w:sz w:val="24"/>
          <w:szCs w:val="24"/>
        </w:rPr>
        <w:t>.</w:t>
      </w:r>
    </w:p>
    <w:p w:rsidR="00DC03C1" w:rsidRPr="0065592D" w:rsidRDefault="00DC03C1" w:rsidP="00072788">
      <w:pPr>
        <w:spacing w:after="0" w:line="240" w:lineRule="auto"/>
        <w:rPr>
          <w:sz w:val="24"/>
          <w:szCs w:val="24"/>
        </w:rPr>
      </w:pPr>
      <w:r w:rsidRPr="0065592D">
        <w:rPr>
          <w:sz w:val="24"/>
          <w:szCs w:val="24"/>
        </w:rPr>
        <w:t xml:space="preserve"> </w:t>
      </w:r>
    </w:p>
    <w:p w:rsidR="00DC03C1" w:rsidRDefault="00DC03C1" w:rsidP="00DC03C1">
      <w:pPr>
        <w:autoSpaceDE w:val="0"/>
        <w:autoSpaceDN w:val="0"/>
        <w:spacing w:after="120" w:line="240" w:lineRule="auto"/>
        <w:ind w:left="666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03C1" w:rsidRDefault="00DC03C1" w:rsidP="00DC03C1">
      <w:pPr>
        <w:autoSpaceDE w:val="0"/>
        <w:autoSpaceDN w:val="0"/>
        <w:spacing w:after="120" w:line="240" w:lineRule="auto"/>
        <w:ind w:left="666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03C1" w:rsidRDefault="00DC03C1" w:rsidP="00DC03C1">
      <w:pPr>
        <w:autoSpaceDE w:val="0"/>
        <w:autoSpaceDN w:val="0"/>
        <w:spacing w:after="120" w:line="240" w:lineRule="auto"/>
        <w:ind w:left="666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03C1" w:rsidRDefault="00DC03C1" w:rsidP="00DC03C1">
      <w:pPr>
        <w:autoSpaceDE w:val="0"/>
        <w:autoSpaceDN w:val="0"/>
        <w:spacing w:after="120" w:line="240" w:lineRule="auto"/>
        <w:ind w:left="666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03C1" w:rsidRDefault="00DC03C1" w:rsidP="00DC03C1">
      <w:pPr>
        <w:autoSpaceDE w:val="0"/>
        <w:autoSpaceDN w:val="0"/>
        <w:spacing w:after="120" w:line="240" w:lineRule="auto"/>
        <w:ind w:left="666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03C1" w:rsidRDefault="00DC03C1" w:rsidP="00DC03C1">
      <w:pPr>
        <w:autoSpaceDE w:val="0"/>
        <w:autoSpaceDN w:val="0"/>
        <w:spacing w:after="120" w:line="240" w:lineRule="auto"/>
        <w:ind w:left="666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03C1" w:rsidRDefault="00DC03C1" w:rsidP="00DC03C1">
      <w:pPr>
        <w:autoSpaceDE w:val="0"/>
        <w:autoSpaceDN w:val="0"/>
        <w:spacing w:after="120" w:line="240" w:lineRule="auto"/>
        <w:ind w:left="666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1495" w:rsidRDefault="00C01495"/>
    <w:sectPr w:rsidR="00C01495" w:rsidSect="00C0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C73" w:rsidRDefault="004B5C73" w:rsidP="00DC03C1">
      <w:pPr>
        <w:spacing w:after="0" w:line="240" w:lineRule="auto"/>
      </w:pPr>
      <w:r>
        <w:separator/>
      </w:r>
    </w:p>
  </w:endnote>
  <w:endnote w:type="continuationSeparator" w:id="0">
    <w:p w:rsidR="004B5C73" w:rsidRDefault="004B5C73" w:rsidP="00DC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C73" w:rsidRDefault="004B5C73" w:rsidP="00DC03C1">
      <w:pPr>
        <w:spacing w:after="0" w:line="240" w:lineRule="auto"/>
      </w:pPr>
      <w:r>
        <w:separator/>
      </w:r>
    </w:p>
  </w:footnote>
  <w:footnote w:type="continuationSeparator" w:id="0">
    <w:p w:rsidR="004B5C73" w:rsidRDefault="004B5C73" w:rsidP="00DC0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3C1"/>
    <w:rsid w:val="00072788"/>
    <w:rsid w:val="00141EF2"/>
    <w:rsid w:val="003E125B"/>
    <w:rsid w:val="004B5C73"/>
    <w:rsid w:val="004E6FD3"/>
    <w:rsid w:val="005C1A19"/>
    <w:rsid w:val="00633656"/>
    <w:rsid w:val="007D4F39"/>
    <w:rsid w:val="00AB1F4D"/>
    <w:rsid w:val="00B26D85"/>
    <w:rsid w:val="00C01495"/>
    <w:rsid w:val="00DC03C1"/>
    <w:rsid w:val="00DC6A68"/>
    <w:rsid w:val="00DD2742"/>
    <w:rsid w:val="00EF7AAA"/>
    <w:rsid w:val="00F2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03C1"/>
  </w:style>
  <w:style w:type="paragraph" w:styleId="a6">
    <w:name w:val="footer"/>
    <w:basedOn w:val="a"/>
    <w:link w:val="a7"/>
    <w:uiPriority w:val="99"/>
    <w:semiHidden/>
    <w:unhideWhenUsed/>
    <w:rsid w:val="00DC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03C1"/>
  </w:style>
  <w:style w:type="paragraph" w:styleId="a8">
    <w:name w:val="Balloon Text"/>
    <w:basedOn w:val="a"/>
    <w:link w:val="a9"/>
    <w:uiPriority w:val="99"/>
    <w:semiHidden/>
    <w:unhideWhenUsed/>
    <w:rsid w:val="00EF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1929</Words>
  <Characters>10996</Characters>
  <Application>Microsoft Office Word</Application>
  <DocSecurity>0</DocSecurity>
  <Lines>91</Lines>
  <Paragraphs>25</Paragraphs>
  <ScaleCrop>false</ScaleCrop>
  <Company>MultiDVD Team</Company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ДДТ</cp:lastModifiedBy>
  <cp:revision>9</cp:revision>
  <cp:lastPrinted>2022-10-31T11:30:00Z</cp:lastPrinted>
  <dcterms:created xsi:type="dcterms:W3CDTF">2019-11-11T12:43:00Z</dcterms:created>
  <dcterms:modified xsi:type="dcterms:W3CDTF">2022-11-10T09:11:00Z</dcterms:modified>
</cp:coreProperties>
</file>