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8B" w:rsidRPr="00AA2EA7" w:rsidRDefault="00AA2EA7" w:rsidP="00AA2EA7">
      <w:pPr>
        <w:pStyle w:val="a5"/>
        <w:widowControl/>
        <w:pBdr>
          <w:bottom w:val="single" w:sz="2" w:space="10" w:color="D0DEEB"/>
        </w:pBdr>
        <w:shd w:val="clear" w:color="auto" w:fill="1E439C"/>
        <w:spacing w:after="40" w:line="240" w:lineRule="atLeast"/>
        <w:rPr>
          <w:rFonts w:ascii="Helvetica Neue;Helvetica;Arial;" w:hAnsi="Helvetica Neue;Helvetica;Arial;" w:hint="eastAsia"/>
          <w:b/>
          <w:color w:val="FFFFFF"/>
          <w:sz w:val="20"/>
          <w:szCs w:val="20"/>
        </w:rPr>
      </w:pPr>
      <w:r w:rsidRPr="00AA2EA7">
        <w:rPr>
          <w:rFonts w:ascii="Helvetica Neue;Helvetica;Arial;" w:hAnsi="Helvetica Neue;Helvetica;Arial;" w:hint="eastAsia"/>
          <w:b/>
          <w:color w:val="FFFFFF"/>
          <w:sz w:val="20"/>
          <w:szCs w:val="20"/>
        </w:rPr>
        <w:t> </w:t>
      </w:r>
      <w:r>
        <w:rPr>
          <w:rFonts w:ascii="Helvetica Neue;Helvetica;Arial;" w:hAnsi="Helvetica Neue;Helvetica;Arial;"/>
          <w:b/>
          <w:color w:val="FFFFFF"/>
          <w:sz w:val="20"/>
          <w:szCs w:val="20"/>
        </w:rPr>
        <w:t> </w:t>
      </w:r>
      <w:r>
        <w:rPr>
          <w:rFonts w:ascii="Helvetica Neue;Helvetica;Arial;" w:hAnsi="Helvetica Neue;Helvetica;Arial;" w:hint="eastAsia"/>
          <w:b/>
          <w:color w:val="FFFFFF"/>
          <w:sz w:val="20"/>
          <w:szCs w:val="20"/>
        </w:rPr>
        <w:t> </w:t>
      </w:r>
      <w:bookmarkStart w:id="0" w:name="_GoBack"/>
      <w:r w:rsidR="00935CCA" w:rsidRPr="00AA2EA7">
        <w:rPr>
          <w:rFonts w:ascii="Helvetica Neue;Helvetica;Arial;" w:hAnsi="Helvetica Neue;Helvetica;Arial;"/>
          <w:b/>
          <w:color w:val="FFFFFF"/>
          <w:sz w:val="20"/>
          <w:szCs w:val="20"/>
        </w:rPr>
        <w:t>Диспансеризация по оценке репродуктивного здоровья</w:t>
      </w:r>
      <w:bookmarkEnd w:id="0"/>
    </w:p>
    <w:p w:rsidR="0096608B" w:rsidRPr="00AA2EA7" w:rsidRDefault="00935CCA" w:rsidP="00AA2EA7">
      <w:pPr>
        <w:pStyle w:val="a5"/>
        <w:widowControl/>
        <w:pBdr>
          <w:bottom w:val="single" w:sz="2" w:space="10" w:color="D0DEEB"/>
        </w:pBdr>
        <w:spacing w:after="120" w:line="240" w:lineRule="atLeast"/>
        <w:ind w:left="142" w:right="140"/>
        <w:jc w:val="both"/>
        <w:rPr>
          <w:rFonts w:ascii="Helvetica Neue;Helvetica;Arial;" w:hAnsi="Helvetica Neue;Helvetica;Arial;" w:hint="eastAsia"/>
          <w:color w:val="1E439C"/>
          <w:sz w:val="20"/>
          <w:szCs w:val="20"/>
        </w:rPr>
      </w:pPr>
      <w:bookmarkStart w:id="1" w:name="doc-hidden1"/>
      <w:bookmarkEnd w:id="1"/>
      <w:r w:rsidRPr="00AA2EA7">
        <w:rPr>
          <w:rFonts w:ascii="Helvetica Neue;Helvetica;Arial;" w:hAnsi="Helvetica Neue;Helvetica;Arial;"/>
          <w:color w:val="1E439C"/>
          <w:sz w:val="20"/>
          <w:szCs w:val="20"/>
        </w:rPr>
        <w:t>У</w:t>
      </w:r>
      <w:r w:rsidRPr="00AA2EA7">
        <w:rPr>
          <w:rFonts w:ascii="Helvetica Neue;Helvetica;Arial;" w:hAnsi="Helvetica Neue;Helvetica;Arial;"/>
          <w:color w:val="1E439C"/>
          <w:sz w:val="20"/>
          <w:szCs w:val="20"/>
        </w:rPr>
        <w:t>казом Президента России 2024 год объявлен Годом семьи в целях популяризации государственной политики в сфере защиты семьи, сохранения традиционных семейных ценностей. В число мероприятий, направленных на</w:t>
      </w:r>
      <w:r w:rsidRPr="00AA2EA7">
        <w:rPr>
          <w:rFonts w:ascii="Helvetica Neue;Helvetica;Arial;" w:hAnsi="Helvetica Neue;Helvetica;Arial;"/>
          <w:color w:val="1E439C"/>
          <w:sz w:val="20"/>
          <w:szCs w:val="20"/>
        </w:rPr>
        <w:t xml:space="preserve"> улучшение здоровья взрослых и детей, входит оценка репродуктивного здоровья.</w:t>
      </w: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center"/>
        <w:rPr>
          <w:rFonts w:hint="eastAsia"/>
          <w:color w:val="1E439C"/>
        </w:rPr>
      </w:pPr>
      <w:r>
        <w:rPr>
          <w:noProof/>
          <w:color w:val="1E439C"/>
          <w:lang w:eastAsia="ru-RU" w:bidi="ar-SA"/>
        </w:rPr>
        <w:drawing>
          <wp:inline distT="0" distB="0" distL="0" distR="0">
            <wp:extent cx="5174901" cy="4139921"/>
            <wp:effectExtent l="0" t="0" r="6985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789" cy="414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Для женщин и мужчин репродуктивного возраста поэтапно и одновременно с прохождением профилактического осмотра или диспансеризации организуется проведение диспансеризации, напра</w:t>
      </w:r>
      <w:r>
        <w:rPr>
          <w:rFonts w:ascii="Helvetica Neue;Helvetica;Arial;" w:hAnsi="Helvetica Neue;Helvetica;Arial;"/>
          <w:color w:val="1E439C"/>
          <w:sz w:val="17"/>
        </w:rPr>
        <w:t>вленной на оценку их репродуктивного здоровья, с целью выявления признаков и факторов риска заболеваний или состояний, способных негативно повлиять на беременность, течение беременности, родов и послеродового периода.</w:t>
      </w:r>
    </w:p>
    <w:p w:rsidR="00AA2EA7" w:rsidRDefault="00AA2EA7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 w:hint="eastAsia"/>
          <w:color w:val="1E439C"/>
          <w:sz w:val="17"/>
        </w:rPr>
      </w:pPr>
    </w:p>
    <w:p w:rsidR="00AA2EA7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rPr>
          <w:rFonts w:ascii="Helvetica Neue;Helvetica;Arial;" w:hAnsi="Helvetica Neue;Helvetica;Arial;"/>
          <w:b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t xml:space="preserve">Первый этап диспансеризации по оценке </w:t>
      </w:r>
      <w:r>
        <w:rPr>
          <w:rFonts w:ascii="Helvetica Neue;Helvetica;Arial;" w:hAnsi="Helvetica Neue;Helvetica;Arial;"/>
          <w:b/>
          <w:color w:val="1E439C"/>
          <w:sz w:val="19"/>
        </w:rPr>
        <w:t>репродуктивного здоровья включает:</w:t>
      </w:r>
    </w:p>
    <w:p w:rsidR="00AA2EA7" w:rsidRDefault="00AA2EA7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rPr>
          <w:rFonts w:ascii="Helvetica Neue;Helvetica;Arial;" w:hAnsi="Helvetica Neue;Helvetica;Arial;"/>
          <w:b/>
          <w:color w:val="1E439C"/>
          <w:sz w:val="19"/>
        </w:rPr>
      </w:pP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rPr>
          <w:rFonts w:ascii="Helvetica Neue;Helvetica;Arial;" w:hAnsi="Helvetica Neue;Helvetica;Arial;" w:hint="eastAsia"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t>Для женщин: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П</w:t>
      </w:r>
      <w:r>
        <w:rPr>
          <w:rFonts w:ascii="Helvetica Neue;Helvetica;Arial;" w:hAnsi="Helvetica Neue;Helvetica;Arial;"/>
          <w:color w:val="1E439C"/>
          <w:sz w:val="17"/>
        </w:rPr>
        <w:t>риё</w:t>
      </w:r>
      <w:r>
        <w:rPr>
          <w:rFonts w:ascii="Helvetica Neue;Helvetica;Arial;" w:hAnsi="Helvetica Neue;Helvetica;Arial;"/>
          <w:color w:val="1E439C"/>
          <w:sz w:val="17"/>
        </w:rPr>
        <w:t>м (осмотр) врачом акушером-гинекологом;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П</w:t>
      </w:r>
      <w:r>
        <w:rPr>
          <w:rFonts w:ascii="Helvetica Neue;Helvetica;Arial;" w:hAnsi="Helvetica Neue;Helvetica;Arial;"/>
          <w:color w:val="1E439C"/>
          <w:sz w:val="17"/>
        </w:rPr>
        <w:t>альпация молочных желез;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О</w:t>
      </w:r>
      <w:r>
        <w:rPr>
          <w:rFonts w:ascii="Helvetica Neue;Helvetica;Arial;" w:hAnsi="Helvetica Neue;Helvetica;Arial;"/>
          <w:color w:val="1E439C"/>
          <w:sz w:val="17"/>
        </w:rPr>
        <w:t>смотр шейки матки в зеркалах с забором ма</w:t>
      </w:r>
      <w:r>
        <w:rPr>
          <w:rFonts w:ascii="Helvetica Neue;Helvetica;Arial;" w:hAnsi="Helvetica Neue;Helvetica;Arial;"/>
          <w:color w:val="1E439C"/>
          <w:sz w:val="17"/>
        </w:rPr>
        <w:t>териала на исследование;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М</w:t>
      </w:r>
      <w:r>
        <w:rPr>
          <w:rFonts w:ascii="Helvetica Neue;Helvetica;Arial;" w:hAnsi="Helvetica Neue;Helvetica;Arial;"/>
          <w:color w:val="1E439C"/>
          <w:sz w:val="17"/>
        </w:rPr>
        <w:t>икроскопическое исследование влагалищных мазков;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Ц</w:t>
      </w:r>
      <w:r>
        <w:rPr>
          <w:rFonts w:ascii="Helvetica Neue;Helvetica;Arial;" w:hAnsi="Helvetica Neue;Helvetica;Arial;"/>
          <w:color w:val="1E439C"/>
          <w:sz w:val="17"/>
        </w:rPr>
        <w:t>итологическое исследование мазка с поверхности шейки матки и цервикального канала;</w:t>
      </w:r>
    </w:p>
    <w:p w:rsidR="00AA2EA7" w:rsidRDefault="00935CCA" w:rsidP="00935CCA">
      <w:pPr>
        <w:pStyle w:val="a5"/>
        <w:widowControl/>
        <w:numPr>
          <w:ilvl w:val="0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В</w:t>
      </w:r>
      <w:r>
        <w:rPr>
          <w:rFonts w:ascii="Helvetica Neue;Helvetica;Arial;" w:hAnsi="Helvetica Neue;Helvetica;Arial;"/>
          <w:color w:val="1E439C"/>
          <w:sz w:val="17"/>
        </w:rPr>
        <w:t xml:space="preserve"> возрасте 18 - 29 лет проведение лабораторных </w:t>
      </w:r>
      <w:r>
        <w:rPr>
          <w:rFonts w:ascii="Helvetica Neue;Helvetica;Arial;" w:hAnsi="Helvetica Neue;Helvetica;Arial;"/>
          <w:color w:val="1E439C"/>
          <w:sz w:val="17"/>
        </w:rPr>
        <w:t>исследований мазков в целях выявления возбудителей инфекционных заболеваний органов малого таза методом ПЦР</w:t>
      </w:r>
      <w:r w:rsidR="00AA2EA7">
        <w:rPr>
          <w:rFonts w:ascii="Helvetica Neue;Helvetica;Arial;" w:hAnsi="Helvetica Neue;Helvetica;Arial;"/>
          <w:color w:val="1E439C"/>
          <w:sz w:val="17"/>
        </w:rPr>
        <w:t>:</w:t>
      </w:r>
    </w:p>
    <w:p w:rsidR="00AA2EA7" w:rsidRPr="00935CCA" w:rsidRDefault="00935CCA" w:rsidP="00935CCA">
      <w:pPr>
        <w:pStyle w:val="a5"/>
        <w:widowControl/>
        <w:numPr>
          <w:ilvl w:val="0"/>
          <w:numId w:val="10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 w:rsidRPr="00935CCA"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 w:rsidRPr="00935CCA">
        <w:rPr>
          <w:rFonts w:ascii="Helvetica Neue;Helvetica;Arial;" w:hAnsi="Helvetica Neue;Helvetica;Arial;"/>
          <w:color w:val="1E439C"/>
          <w:sz w:val="17"/>
        </w:rPr>
        <w:t xml:space="preserve"> ДНК хламидии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трахоматис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Chlamydia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trachomatis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</w:t>
      </w:r>
      <w:r w:rsidR="00AA2EA7" w:rsidRPr="00935CCA">
        <w:rPr>
          <w:rFonts w:ascii="Helvetica Neue;Helvetica;Arial;" w:hAnsi="Helvetica Neue;Helvetica;Arial;"/>
          <w:color w:val="1E439C"/>
          <w:sz w:val="17"/>
        </w:rPr>
        <w:t>;</w:t>
      </w:r>
    </w:p>
    <w:p w:rsidR="00AA2EA7" w:rsidRPr="00935CCA" w:rsidRDefault="00935CCA" w:rsidP="00935CCA">
      <w:pPr>
        <w:pStyle w:val="a5"/>
        <w:widowControl/>
        <w:numPr>
          <w:ilvl w:val="0"/>
          <w:numId w:val="10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 w:rsidRPr="00935CCA"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 w:rsidRPr="00935CCA">
        <w:rPr>
          <w:rFonts w:ascii="Helvetica Neue;Helvetica;Arial;" w:hAnsi="Helvetica Neue;Helvetica;Arial;"/>
          <w:color w:val="1E439C"/>
          <w:sz w:val="17"/>
        </w:rPr>
        <w:t xml:space="preserve"> ДНК </w:t>
      </w:r>
      <w:r w:rsidRPr="00935CCA">
        <w:rPr>
          <w:rFonts w:ascii="Helvetica Neue;Helvetica;Arial;" w:hAnsi="Helvetica Neue;Helvetica;Arial;"/>
          <w:color w:val="1E439C"/>
          <w:sz w:val="17"/>
        </w:rPr>
        <w:t>гонококка (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Neiseria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gonorrhoeae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</w:t>
      </w:r>
      <w:r w:rsidR="00AA2EA7" w:rsidRPr="00935CCA">
        <w:rPr>
          <w:rFonts w:ascii="Helvetica Neue;Helvetica;Arial;" w:hAnsi="Helvetica Neue;Helvetica;Arial;"/>
          <w:color w:val="1E439C"/>
          <w:sz w:val="17"/>
        </w:rPr>
        <w:t>;</w:t>
      </w:r>
    </w:p>
    <w:p w:rsidR="00AA2EA7" w:rsidRPr="00935CCA" w:rsidRDefault="00935CCA" w:rsidP="00935CCA">
      <w:pPr>
        <w:pStyle w:val="a5"/>
        <w:widowControl/>
        <w:numPr>
          <w:ilvl w:val="0"/>
          <w:numId w:val="10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 w:rsidRPr="00935CCA"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 w:rsidRPr="00935CCA">
        <w:rPr>
          <w:rFonts w:ascii="Helvetica Neue;Helvetica;Arial;" w:hAnsi="Helvetica Neue;Helvetica;Arial;"/>
          <w:color w:val="1E439C"/>
          <w:sz w:val="17"/>
        </w:rPr>
        <w:t xml:space="preserve"> ДНК микоплазмы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гениталиум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Mycoplasma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genitalium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</w:t>
      </w:r>
      <w:r w:rsidR="00AA2EA7" w:rsidRPr="00935CCA">
        <w:rPr>
          <w:rFonts w:ascii="Helvetica Neue;Helvetica;Arial;" w:hAnsi="Helvetica Neue;Helvetica;Arial;"/>
          <w:color w:val="1E439C"/>
          <w:sz w:val="17"/>
        </w:rPr>
        <w:t>;</w:t>
      </w:r>
    </w:p>
    <w:p w:rsidR="0096608B" w:rsidRPr="00935CCA" w:rsidRDefault="00935CCA" w:rsidP="00935CCA">
      <w:pPr>
        <w:pStyle w:val="a5"/>
        <w:widowControl/>
        <w:numPr>
          <w:ilvl w:val="0"/>
          <w:numId w:val="10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 w:hint="eastAsia"/>
          <w:color w:val="1E439C"/>
          <w:sz w:val="17"/>
        </w:rPr>
      </w:pPr>
      <w:proofErr w:type="gramStart"/>
      <w:r w:rsidRPr="00935CCA"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 w:rsidRPr="00935CCA">
        <w:rPr>
          <w:rFonts w:ascii="Helvetica Neue;Helvetica;Arial;" w:hAnsi="Helvetica Neue;Helvetica;Arial;"/>
          <w:color w:val="1E439C"/>
          <w:sz w:val="17"/>
        </w:rPr>
        <w:t xml:space="preserve"> ДНК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трихо</w:t>
      </w:r>
      <w:r w:rsidRPr="00935CCA">
        <w:rPr>
          <w:rFonts w:ascii="Helvetica Neue;Helvetica;Arial;" w:hAnsi="Helvetica Neue;Helvetica;Arial;"/>
          <w:color w:val="1E439C"/>
          <w:sz w:val="17"/>
        </w:rPr>
        <w:t>монас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вагиналис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Trichomonas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 w:rsidRPr="00935CCA">
        <w:rPr>
          <w:rFonts w:ascii="Helvetica Neue;Helvetica;Arial;" w:hAnsi="Helvetica Neue;Helvetica;Arial;"/>
          <w:color w:val="1E439C"/>
          <w:sz w:val="17"/>
        </w:rPr>
        <w:t>vaginalis</w:t>
      </w:r>
      <w:proofErr w:type="spellEnd"/>
      <w:r w:rsidRPr="00935CCA"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</w:t>
      </w:r>
      <w:r w:rsidR="00AA2EA7" w:rsidRPr="00935CCA">
        <w:rPr>
          <w:rFonts w:ascii="Helvetica Neue;Helvetica;Arial;" w:hAnsi="Helvetica Neue;Helvetica;Arial;"/>
          <w:color w:val="1E439C"/>
          <w:sz w:val="17"/>
        </w:rPr>
        <w:t>.</w:t>
      </w:r>
    </w:p>
    <w:p w:rsidR="0096608B" w:rsidRDefault="00935CCA" w:rsidP="00935CCA">
      <w:pPr>
        <w:pStyle w:val="a5"/>
        <w:widowControl/>
        <w:pBdr>
          <w:bottom w:val="single" w:sz="2" w:space="10" w:color="D0DEEB"/>
        </w:pBdr>
        <w:spacing w:after="0" w:line="240" w:lineRule="atLeast"/>
        <w:rPr>
          <w:rFonts w:ascii="Helvetica Neue;Helvetica;Arial;" w:hAnsi="Helvetica Neue;Helvetica;Arial;" w:hint="eastAsia"/>
          <w:b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t>Для мужчин:</w:t>
      </w: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 w:hint="eastAsia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1.</w:t>
      </w:r>
      <w:r>
        <w:rPr>
          <w:rFonts w:ascii="Helvetica Neue;Helvetica;Arial;" w:hAnsi="Helvetica Neue;Helvetica;Arial;"/>
          <w:color w:val="1E439C"/>
          <w:sz w:val="17"/>
        </w:rPr>
        <w:t xml:space="preserve"> О</w:t>
      </w:r>
      <w:r>
        <w:rPr>
          <w:rFonts w:ascii="Helvetica Neue;Helvetica;Arial;" w:hAnsi="Helvetica Neue;Helvetica;Arial;"/>
          <w:color w:val="1E439C"/>
          <w:sz w:val="17"/>
        </w:rPr>
        <w:t>смотр урологом (при его отсутствии – хирургом, прошедшим подготовку по вопросам репродуктивного здоровья у мужчин).</w:t>
      </w:r>
    </w:p>
    <w:p w:rsidR="00935CCA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/>
          <w:b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lastRenderedPageBreak/>
        <w:t>Второй этап про</w:t>
      </w:r>
      <w:r>
        <w:rPr>
          <w:rFonts w:ascii="Helvetica Neue;Helvetica;Arial;" w:hAnsi="Helvetica Neue;Helvetica;Arial;"/>
          <w:b/>
          <w:color w:val="1E439C"/>
          <w:sz w:val="19"/>
        </w:rPr>
        <w:t>водится по результатам первого этапа в целях дополнительного обследования и уточнения диагноза заболевания (состояния). При наличии показаний в рамках второго этапа проводятся:</w:t>
      </w:r>
    </w:p>
    <w:p w:rsidR="00935CCA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/>
          <w:b/>
          <w:color w:val="1E439C"/>
          <w:sz w:val="19"/>
        </w:rPr>
      </w:pP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 w:hint="eastAsia"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t>Для женщин:</w:t>
      </w:r>
    </w:p>
    <w:p w:rsidR="00AA2EA7" w:rsidRDefault="00935CCA" w:rsidP="00935CCA">
      <w:pPr>
        <w:pStyle w:val="a5"/>
        <w:widowControl/>
        <w:numPr>
          <w:ilvl w:val="1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в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возрасте 30 – 49 лет – лабораторные исследования мазков в целя</w:t>
      </w:r>
      <w:r>
        <w:rPr>
          <w:rFonts w:ascii="Helvetica Neue;Helvetica;Arial;" w:hAnsi="Helvetica Neue;Helvetica;Arial;"/>
          <w:color w:val="1E439C"/>
          <w:sz w:val="17"/>
        </w:rPr>
        <w:t>х выявления возбудителей инфекционных заболеваний органов малого таза методом ПЦР;</w:t>
      </w:r>
    </w:p>
    <w:p w:rsidR="00AA2EA7" w:rsidRDefault="00935CCA" w:rsidP="00935CCA">
      <w:pPr>
        <w:pStyle w:val="a5"/>
        <w:widowControl/>
        <w:numPr>
          <w:ilvl w:val="0"/>
          <w:numId w:val="11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ДНК хламидии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трахоматис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Chlamydia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trachomatis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ПЦР;</w:t>
      </w:r>
    </w:p>
    <w:p w:rsidR="00AA2EA7" w:rsidRDefault="00935CCA" w:rsidP="00935CCA">
      <w:pPr>
        <w:pStyle w:val="a5"/>
        <w:widowControl/>
        <w:numPr>
          <w:ilvl w:val="0"/>
          <w:numId w:val="11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ДНК гонококка (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Neiseria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gonorrhoeae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ПЦР;</w:t>
      </w:r>
    </w:p>
    <w:p w:rsidR="00AA2EA7" w:rsidRDefault="00935CCA" w:rsidP="00935CCA">
      <w:pPr>
        <w:pStyle w:val="a5"/>
        <w:widowControl/>
        <w:numPr>
          <w:ilvl w:val="0"/>
          <w:numId w:val="11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ДНК микоплазмы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гениталиум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Mycoplasma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genitalium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) в отделяемом слизистых оболоче</w:t>
      </w:r>
      <w:r>
        <w:rPr>
          <w:rFonts w:ascii="Helvetica Neue;Helvetica;Arial;" w:hAnsi="Helvetica Neue;Helvetica;Arial;"/>
          <w:color w:val="1E439C"/>
          <w:sz w:val="17"/>
        </w:rPr>
        <w:t>к женских половых органов методом ПЦР;</w:t>
      </w:r>
    </w:p>
    <w:p w:rsidR="00AA2EA7" w:rsidRDefault="00935CCA" w:rsidP="00935CCA">
      <w:pPr>
        <w:pStyle w:val="a5"/>
        <w:widowControl/>
        <w:numPr>
          <w:ilvl w:val="0"/>
          <w:numId w:val="11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ДНК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трихомонас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вагиналис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(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Trichomonas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 xml:space="preserve"> 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vaginalis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) в отделяемом слизистых оболочек женских половых органов методом ПЦР;</w:t>
      </w:r>
    </w:p>
    <w:p w:rsidR="00AA2EA7" w:rsidRDefault="00935CCA" w:rsidP="00935CCA">
      <w:pPr>
        <w:pStyle w:val="a5"/>
        <w:widowControl/>
        <w:numPr>
          <w:ilvl w:val="0"/>
          <w:numId w:val="11"/>
        </w:numPr>
        <w:pBdr>
          <w:bottom w:val="single" w:sz="2" w:space="10" w:color="D0DEEB"/>
        </w:pBdr>
        <w:spacing w:after="0" w:line="240" w:lineRule="atLeast"/>
        <w:ind w:left="426" w:hanging="142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определение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Д</w:t>
      </w:r>
      <w:r>
        <w:rPr>
          <w:rFonts w:ascii="Helvetica Neue;Helvetica;Arial;" w:hAnsi="Helvetica Neue;Helvetica;Arial;"/>
          <w:color w:val="1E439C"/>
          <w:sz w:val="17"/>
        </w:rPr>
        <w:t>НК вирусов папилломы человека (</w:t>
      </w:r>
      <w:proofErr w:type="spellStart"/>
      <w:r>
        <w:rPr>
          <w:rFonts w:ascii="Helvetica Neue;Helvetica;Arial;" w:hAnsi="Helvetica Neue;Helvetica;Arial;"/>
          <w:color w:val="1E439C"/>
          <w:sz w:val="17"/>
        </w:rPr>
        <w:t>Papillomavirus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) высокого канцерогенного риска в отделяемом (соскобе) из цервикального канала методом ПЦР.</w:t>
      </w:r>
    </w:p>
    <w:p w:rsidR="00AA2EA7" w:rsidRDefault="00935CCA" w:rsidP="00935CCA">
      <w:pPr>
        <w:pStyle w:val="a5"/>
        <w:widowControl/>
        <w:numPr>
          <w:ilvl w:val="1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УЗИ органов малого таза в начале ил</w:t>
      </w:r>
      <w:r w:rsidR="00AA2EA7">
        <w:rPr>
          <w:rFonts w:ascii="Helvetica Neue;Helvetica;Arial;" w:hAnsi="Helvetica Neue;Helvetica;Arial;"/>
          <w:color w:val="1E439C"/>
          <w:sz w:val="17"/>
        </w:rPr>
        <w:t>и середине менструального цикла.</w:t>
      </w:r>
    </w:p>
    <w:p w:rsidR="00AA2EA7" w:rsidRDefault="00935CCA" w:rsidP="00935CCA">
      <w:pPr>
        <w:pStyle w:val="a5"/>
        <w:widowControl/>
        <w:numPr>
          <w:ilvl w:val="1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У</w:t>
      </w:r>
      <w:r w:rsidR="00AA2EA7">
        <w:rPr>
          <w:rFonts w:ascii="Helvetica Neue;Helvetica;Arial;" w:hAnsi="Helvetica Neue;Helvetica;Arial;"/>
          <w:color w:val="1E439C"/>
          <w:sz w:val="17"/>
        </w:rPr>
        <w:t>ЗИ молочных желез.</w:t>
      </w:r>
    </w:p>
    <w:p w:rsidR="0096608B" w:rsidRDefault="00935CCA" w:rsidP="00935CCA">
      <w:pPr>
        <w:pStyle w:val="a5"/>
        <w:widowControl/>
        <w:numPr>
          <w:ilvl w:val="1"/>
          <w:numId w:val="9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proofErr w:type="gramStart"/>
      <w:r>
        <w:rPr>
          <w:rFonts w:ascii="Helvetica Neue;Helvetica;Arial;" w:hAnsi="Helvetica Neue;Helvetica;Arial;"/>
          <w:color w:val="1E439C"/>
          <w:sz w:val="17"/>
        </w:rPr>
        <w:t>повторный</w:t>
      </w:r>
      <w:proofErr w:type="gramEnd"/>
      <w:r>
        <w:rPr>
          <w:rFonts w:ascii="Helvetica Neue;Helvetica;Arial;" w:hAnsi="Helvetica Neue;Helvetica;Arial;"/>
          <w:color w:val="1E439C"/>
          <w:sz w:val="17"/>
        </w:rPr>
        <w:t xml:space="preserve"> осмотр акушером-гинекологом.</w:t>
      </w:r>
    </w:p>
    <w:p w:rsidR="00935CCA" w:rsidRDefault="00935CCA" w:rsidP="00935CCA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 w:hint="eastAsia"/>
          <w:color w:val="1E439C"/>
          <w:sz w:val="17"/>
        </w:rPr>
      </w:pPr>
    </w:p>
    <w:p w:rsidR="0096608B" w:rsidRDefault="00935CCA" w:rsidP="00AA2EA7">
      <w:pPr>
        <w:pStyle w:val="a5"/>
        <w:widowControl/>
        <w:pBdr>
          <w:bottom w:val="single" w:sz="2" w:space="10" w:color="D0DEEB"/>
        </w:pBdr>
        <w:spacing w:after="0" w:line="240" w:lineRule="atLeast"/>
        <w:jc w:val="both"/>
        <w:rPr>
          <w:rFonts w:ascii="Helvetica Neue;Helvetica;Arial;" w:hAnsi="Helvetica Neue;Helvetica;Arial;" w:hint="eastAsia"/>
          <w:b/>
          <w:color w:val="1E439C"/>
          <w:sz w:val="19"/>
        </w:rPr>
      </w:pPr>
      <w:r>
        <w:rPr>
          <w:rFonts w:ascii="Helvetica Neue;Helvetica;Arial;" w:hAnsi="Helvetica Neue;Helvetica;Arial;"/>
          <w:b/>
          <w:color w:val="1E439C"/>
          <w:sz w:val="19"/>
        </w:rPr>
        <w:t>Для мужчин:</w:t>
      </w:r>
    </w:p>
    <w:p w:rsidR="00AA2EA7" w:rsidRDefault="00AA2EA7" w:rsidP="00935CCA">
      <w:pPr>
        <w:pStyle w:val="a5"/>
        <w:widowControl/>
        <w:numPr>
          <w:ilvl w:val="0"/>
          <w:numId w:val="6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proofErr w:type="spellStart"/>
      <w:r>
        <w:rPr>
          <w:rFonts w:ascii="Helvetica Neue;Helvetica;Arial;" w:hAnsi="Helvetica Neue;Helvetica;Arial;"/>
          <w:color w:val="1E439C"/>
          <w:sz w:val="17"/>
        </w:rPr>
        <w:t>Спермограмма</w:t>
      </w:r>
      <w:proofErr w:type="spellEnd"/>
      <w:r>
        <w:rPr>
          <w:rFonts w:ascii="Helvetica Neue;Helvetica;Arial;" w:hAnsi="Helvetica Neue;Helvetica;Arial;"/>
          <w:color w:val="1E439C"/>
          <w:sz w:val="17"/>
        </w:rPr>
        <w:t>.</w:t>
      </w:r>
    </w:p>
    <w:p w:rsidR="00AA2EA7" w:rsidRDefault="00AA2EA7" w:rsidP="00935CCA">
      <w:pPr>
        <w:pStyle w:val="a5"/>
        <w:widowControl/>
        <w:numPr>
          <w:ilvl w:val="0"/>
          <w:numId w:val="6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М</w:t>
      </w:r>
      <w:r w:rsidR="00935CCA">
        <w:rPr>
          <w:rFonts w:ascii="Helvetica Neue;Helvetica;Arial;" w:hAnsi="Helvetica Neue;Helvetica;Arial;"/>
          <w:color w:val="1E439C"/>
          <w:sz w:val="17"/>
        </w:rPr>
        <w:t xml:space="preserve">икроскопическое исследование микрофлоры или проведение лабораторных исследований в целях выявления возбудителей </w:t>
      </w:r>
      <w:r w:rsidR="00935CCA">
        <w:rPr>
          <w:rFonts w:ascii="Helvetica Neue;Helvetica;Arial;" w:hAnsi="Helvetica Neue;Helvetica;Arial;"/>
          <w:color w:val="1E439C"/>
          <w:sz w:val="17"/>
        </w:rPr>
        <w:t>инфекционных заболеваний о</w:t>
      </w:r>
      <w:r>
        <w:rPr>
          <w:rFonts w:ascii="Helvetica Neue;Helvetica;Arial;" w:hAnsi="Helvetica Neue;Helvetica;Arial;"/>
          <w:color w:val="1E439C"/>
          <w:sz w:val="17"/>
        </w:rPr>
        <w:t>рганов малого таза методом ПЦР.</w:t>
      </w:r>
    </w:p>
    <w:p w:rsidR="00AA2EA7" w:rsidRDefault="00935CCA" w:rsidP="00935CCA">
      <w:pPr>
        <w:pStyle w:val="a5"/>
        <w:widowControl/>
        <w:numPr>
          <w:ilvl w:val="0"/>
          <w:numId w:val="6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УЗИ предстат</w:t>
      </w:r>
      <w:r w:rsidR="00AA2EA7">
        <w:rPr>
          <w:rFonts w:ascii="Helvetica Neue;Helvetica;Arial;" w:hAnsi="Helvetica Neue;Helvetica;Arial;"/>
          <w:color w:val="1E439C"/>
          <w:sz w:val="17"/>
        </w:rPr>
        <w:t>ельной железы и органов мошонки.</w:t>
      </w:r>
    </w:p>
    <w:p w:rsidR="0096608B" w:rsidRDefault="00AA2EA7" w:rsidP="00935CCA">
      <w:pPr>
        <w:pStyle w:val="a5"/>
        <w:widowControl/>
        <w:numPr>
          <w:ilvl w:val="0"/>
          <w:numId w:val="6"/>
        </w:numPr>
        <w:pBdr>
          <w:bottom w:val="single" w:sz="2" w:space="10" w:color="D0DEEB"/>
        </w:pBdr>
        <w:spacing w:after="0" w:line="240" w:lineRule="atLeast"/>
        <w:ind w:left="284" w:hanging="284"/>
        <w:jc w:val="both"/>
        <w:rPr>
          <w:rFonts w:ascii="Helvetica Neue;Helvetica;Arial;" w:hAnsi="Helvetica Neue;Helvetica;Arial;" w:hint="eastAsia"/>
          <w:color w:val="1E439C"/>
          <w:sz w:val="17"/>
        </w:rPr>
      </w:pPr>
      <w:r>
        <w:rPr>
          <w:rFonts w:ascii="Helvetica Neue;Helvetica;Arial;" w:hAnsi="Helvetica Neue;Helvetica;Arial;"/>
          <w:color w:val="1E439C"/>
          <w:sz w:val="17"/>
        </w:rPr>
        <w:t>П</w:t>
      </w:r>
      <w:r w:rsidR="00935CCA">
        <w:rPr>
          <w:rFonts w:ascii="Helvetica Neue;Helvetica;Arial;" w:hAnsi="Helvetica Neue;Helvetica;Arial;"/>
          <w:color w:val="1E439C"/>
          <w:sz w:val="17"/>
        </w:rPr>
        <w:t>овторный осмотр урологом (хирургом).</w:t>
      </w:r>
    </w:p>
    <w:p w:rsidR="00935CCA" w:rsidRDefault="00935CCA" w:rsidP="00AA2EA7">
      <w:pPr>
        <w:ind w:right="-1"/>
        <w:jc w:val="center"/>
        <w:rPr>
          <w:b/>
          <w:bCs/>
        </w:rPr>
      </w:pPr>
    </w:p>
    <w:p w:rsidR="0096608B" w:rsidRDefault="00935CCA" w:rsidP="00AA2EA7">
      <w:pPr>
        <w:ind w:right="-1"/>
        <w:jc w:val="center"/>
        <w:rPr>
          <w:rFonts w:hint="eastAsia"/>
        </w:rPr>
      </w:pPr>
      <w:r>
        <w:rPr>
          <w:b/>
          <w:bCs/>
        </w:rPr>
        <w:t xml:space="preserve">Прием врача-гинеколога проводится по средам с 15-17ч, </w:t>
      </w:r>
      <w:proofErr w:type="spellStart"/>
      <w:r>
        <w:rPr>
          <w:b/>
          <w:bCs/>
        </w:rPr>
        <w:t>каб</w:t>
      </w:r>
      <w:proofErr w:type="spellEnd"/>
      <w:r w:rsidR="00AA2EA7">
        <w:rPr>
          <w:b/>
          <w:bCs/>
        </w:rPr>
        <w:t>.</w:t>
      </w:r>
      <w:r>
        <w:rPr>
          <w:b/>
          <w:bCs/>
        </w:rPr>
        <w:t xml:space="preserve"> №</w:t>
      </w:r>
      <w:proofErr w:type="gramStart"/>
      <w:r>
        <w:rPr>
          <w:b/>
          <w:bCs/>
        </w:rPr>
        <w:t>6,</w:t>
      </w:r>
      <w:r w:rsidR="00AA2EA7">
        <w:rPr>
          <w:b/>
          <w:bCs/>
        </w:rPr>
        <w:br/>
      </w:r>
      <w:r>
        <w:rPr>
          <w:b/>
          <w:bCs/>
        </w:rPr>
        <w:t>запись</w:t>
      </w:r>
      <w:proofErr w:type="gramEnd"/>
      <w:r>
        <w:rPr>
          <w:b/>
          <w:bCs/>
        </w:rPr>
        <w:t xml:space="preserve"> по телефону</w:t>
      </w:r>
      <w:r>
        <w:rPr>
          <w:b/>
          <w:bCs/>
        </w:rPr>
        <w:t>: +79644205653</w:t>
      </w:r>
    </w:p>
    <w:sectPr w:rsidR="0096608B" w:rsidSect="00935CCA">
      <w:pgSz w:w="11906" w:h="16838"/>
      <w:pgMar w:top="1134" w:right="566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79D"/>
    <w:multiLevelType w:val="hybridMultilevel"/>
    <w:tmpl w:val="B8C4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0582"/>
    <w:multiLevelType w:val="hybridMultilevel"/>
    <w:tmpl w:val="B9A22D94"/>
    <w:lvl w:ilvl="0" w:tplc="94947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039C"/>
    <w:multiLevelType w:val="hybridMultilevel"/>
    <w:tmpl w:val="524E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0D6"/>
    <w:multiLevelType w:val="hybridMultilevel"/>
    <w:tmpl w:val="3BD4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6E67"/>
    <w:multiLevelType w:val="hybridMultilevel"/>
    <w:tmpl w:val="76C2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F5B0F"/>
    <w:multiLevelType w:val="hybridMultilevel"/>
    <w:tmpl w:val="22D8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6DD2"/>
    <w:multiLevelType w:val="hybridMultilevel"/>
    <w:tmpl w:val="52B8A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F9C"/>
    <w:multiLevelType w:val="hybridMultilevel"/>
    <w:tmpl w:val="F61C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E25FF"/>
    <w:multiLevelType w:val="hybridMultilevel"/>
    <w:tmpl w:val="4A9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95B58"/>
    <w:multiLevelType w:val="multilevel"/>
    <w:tmpl w:val="EC9EF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5BC489F"/>
    <w:multiLevelType w:val="hybridMultilevel"/>
    <w:tmpl w:val="859E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F2522"/>
    <w:multiLevelType w:val="multilevel"/>
    <w:tmpl w:val="A4AE21F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8B"/>
    <w:rsid w:val="00935CCA"/>
    <w:rsid w:val="0096608B"/>
    <w:rsid w:val="00A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01129-7EF9-4F38-8493-1ECA03D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supergadget14@mail.ru</cp:lastModifiedBy>
  <cp:revision>2</cp:revision>
  <dcterms:created xsi:type="dcterms:W3CDTF">2025-07-15T09:29:00Z</dcterms:created>
  <dcterms:modified xsi:type="dcterms:W3CDTF">2025-07-15T09:49:00Z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2025-07-15T16:41:23Z</dcterms:modified>
  <cp:revision>4</cp:revision>
  <dc:subject/>
  <dc:title/>
</cp:coreProperties>
</file>