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widowControl/>
        <w:pBdr>
          <w:bottom w:val="single" w:sz="2" w:space="10" w:color="D0DEEB"/>
        </w:pBdr>
        <w:shd w:val="clear" w:color="auto" w:fill="1E439C"/>
        <w:spacing w:lineRule="atLeast" w:line="240" w:before="0" w:after="40"/>
        <w:rPr>
          <w:rFonts w:ascii="Helvetica Neue;Helvetica;Arial;" w:hAnsi="Helvetica Neue;Helvetica;Arial;"/>
          <w:b/>
          <w:b/>
          <w:color w:val="FFFFFF"/>
          <w:sz w:val="20"/>
          <w:szCs w:val="20"/>
        </w:rPr>
      </w:pPr>
      <w:r>
        <w:rPr>
          <w:rFonts w:ascii="Helvetica Neue;Helvetica;Arial;" w:hAnsi="Helvetica Neue;Helvetica;Arial;"/>
          <w:b/>
          <w:color w:val="FFFFFF"/>
          <w:sz w:val="20"/>
          <w:szCs w:val="20"/>
        </w:rPr>
        <w:t>   </w:t>
      </w:r>
      <w:bookmarkStart w:id="0" w:name="_GoBack"/>
      <w:r>
        <w:rPr>
          <w:rFonts w:ascii="Helvetica Neue;Helvetica;Arial;" w:hAnsi="Helvetica Neue;Helvetica;Arial;"/>
          <w:b/>
          <w:color w:val="FFFFFF"/>
          <w:sz w:val="20"/>
          <w:szCs w:val="20"/>
        </w:rPr>
        <w:t>Диспансеризация по оценке репродуктивного здоровья</w:t>
      </w:r>
      <w:bookmarkEnd w:id="0"/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120"/>
        <w:ind w:start="142" w:end="140" w:hanging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bookmarkStart w:id="1" w:name="doc-hidden1"/>
      <w:bookmarkEnd w:id="1"/>
      <w:r>
        <w:rPr>
          <w:rFonts w:ascii="Helvetica Neue;Helvetica;Arial;" w:hAnsi="Helvetica Neue;Helvetica;Arial;"/>
          <w:color w:val="1E439C"/>
          <w:sz w:val="20"/>
          <w:szCs w:val="20"/>
        </w:rPr>
        <w:t>Указом Президента России 2024 год объявлен Годом семьи в целях популяризации государственной политики в сфере защиты семьи, сохранения традиционных семейных ценностей. В число мероприятий, направленных на улучшение здоровья взрослых и детей, входит оценка репродуктивного здоровья.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center"/>
        <w:rPr>
          <w:color w:val="1E439C"/>
        </w:rPr>
      </w:pPr>
      <w:r>
        <w:rPr/>
        <w:drawing>
          <wp:inline distT="0" distB="0" distL="0" distR="0">
            <wp:extent cx="5175250" cy="4140200"/>
            <wp:effectExtent l="0" t="0" r="0" b="0"/>
            <wp:docPr id="1" name="Изображение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0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Для женщин и мужчин репродуктивного возраста поэтапно и одновременно с прохождением профилактического осмотра или диспансеризации организуется проведение диспансеризации, направленной на оценку их репродуктивного здоровья, с целью выявления признаков и факторов риска заболеваний или состояний, способных негативно повлиять на беременность, течение беременности, родов и послеродового периода.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Первый этап диспансеризации по оценке репродуктивного здоровья включает: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Для женщин: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Приём (осмотр) врачом акушером-гинекологом;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Пальпация молочных желез;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Осмотр шейки матки в зеркалах с забором материала на исследование;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Микроскопическое исследование влагалищных мазков;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Цитологическое исследование мазка с поверхности шейки матки и цервикального канала;</w:t>
      </w:r>
    </w:p>
    <w:p>
      <w:pPr>
        <w:pStyle w:val="Style16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В возрасте 18 - 29 лет проведение лабораторных исследований мазков в целях выявления возбудителей инфекционных заболеваний органов малого таза методом ПЦР:</w:t>
      </w:r>
    </w:p>
    <w:p>
      <w:pPr>
        <w:pStyle w:val="Style16"/>
        <w:widowControl/>
        <w:numPr>
          <w:ilvl w:val="0"/>
          <w:numId w:val="3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хламидии трахоматис (Chlamydia trachomatis)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3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гонококка (Neiseria gonorrhoeae)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3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микоплазмы гениталиум (Mycoplasma genitalium)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3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трихомонас вагиналис (Trichomonas vaginalis) в отделяемом слизистых оболочек женских половых органов методом ПЦР.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Для мужчин: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1. Осмотр урологом (при его отсутствии – хирургом, прошедшим подготовку по вопросам репродуктивного здоровья у мужчин).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Второй этап проводится по результатам первого этапа в целях дополнительного обследования и уточнения диагноза заболевания (состояния). При наличии показаний в рамках второго этапа проводятся: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Для женщин:</w:t>
      </w:r>
    </w:p>
    <w:p>
      <w:pPr>
        <w:pStyle w:val="Style16"/>
        <w:widowControl/>
        <w:numPr>
          <w:ilvl w:val="1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в возрасте 30 – 49 лет – лабораторные исследования мазков в целях выявления возбудителей инфекционных заболеваний органов малого таза методом ПЦР;</w:t>
      </w:r>
    </w:p>
    <w:p>
      <w:pPr>
        <w:pStyle w:val="Style16"/>
        <w:widowControl/>
        <w:numPr>
          <w:ilvl w:val="0"/>
          <w:numId w:val="4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хламидии трахоматис (Chlamydia trachomatis)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4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гонококка (Neiseria gonorrhoeae)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4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микоплазмы гениталиум (Mycoplasma genitalium)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4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трихомонас вагиналис (Trichomonas vaginalis) в отделяемом слизистых оболочек женских половых органов методом ПЦР;</w:t>
      </w:r>
    </w:p>
    <w:p>
      <w:pPr>
        <w:pStyle w:val="Style16"/>
        <w:widowControl/>
        <w:numPr>
          <w:ilvl w:val="0"/>
          <w:numId w:val="4"/>
        </w:numPr>
        <w:pBdr>
          <w:bottom w:val="single" w:sz="2" w:space="10" w:color="D0DEEB"/>
        </w:pBdr>
        <w:spacing w:lineRule="atLeast" w:line="240" w:before="0" w:after="0"/>
        <w:ind w:start="426" w:hanging="142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определение ДНК вирусов папилломы человека (Papillomavirus) высокого канцерогенного риска в отделяемом (соскобе) из цервикального канала методом ПЦР.</w:t>
      </w:r>
    </w:p>
    <w:p>
      <w:pPr>
        <w:pStyle w:val="Style16"/>
        <w:widowControl/>
        <w:numPr>
          <w:ilvl w:val="1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УЗИ органов малого таза в начале или середине менструального цикла.</w:t>
      </w:r>
    </w:p>
    <w:p>
      <w:pPr>
        <w:pStyle w:val="Style16"/>
        <w:widowControl/>
        <w:numPr>
          <w:ilvl w:val="1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УЗИ молочных желез.</w:t>
      </w:r>
    </w:p>
    <w:p>
      <w:pPr>
        <w:pStyle w:val="Style16"/>
        <w:widowControl/>
        <w:numPr>
          <w:ilvl w:val="1"/>
          <w:numId w:val="2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повторный осмотр акушером-гинекологом.</w:t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</w:r>
    </w:p>
    <w:p>
      <w:pPr>
        <w:pStyle w:val="Style16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b/>
          <w:b/>
          <w:color w:val="1E439C"/>
          <w:sz w:val="19"/>
        </w:rPr>
      </w:pPr>
      <w:r>
        <w:rPr>
          <w:rFonts w:ascii="Helvetica Neue;Helvetica;Arial;" w:hAnsi="Helvetica Neue;Helvetica;Arial;"/>
          <w:b/>
          <w:color w:val="1E439C"/>
          <w:sz w:val="19"/>
        </w:rPr>
        <w:t>Для мужчин:</w:t>
      </w:r>
    </w:p>
    <w:p>
      <w:pPr>
        <w:pStyle w:val="Style16"/>
        <w:widowControl/>
        <w:numPr>
          <w:ilvl w:val="0"/>
          <w:numId w:val="1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Спермограмма.</w:t>
      </w:r>
    </w:p>
    <w:p>
      <w:pPr>
        <w:pStyle w:val="Style16"/>
        <w:widowControl/>
        <w:numPr>
          <w:ilvl w:val="0"/>
          <w:numId w:val="1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ПЦР.</w:t>
      </w:r>
    </w:p>
    <w:p>
      <w:pPr>
        <w:pStyle w:val="Style16"/>
        <w:widowControl/>
        <w:numPr>
          <w:ilvl w:val="0"/>
          <w:numId w:val="1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УЗИ предстательной железы и органов мошонки.</w:t>
      </w:r>
    </w:p>
    <w:p>
      <w:pPr>
        <w:pStyle w:val="Style16"/>
        <w:widowControl/>
        <w:numPr>
          <w:ilvl w:val="0"/>
          <w:numId w:val="1"/>
        </w:numPr>
        <w:pBdr>
          <w:bottom w:val="single" w:sz="2" w:space="10" w:color="D0DEEB"/>
        </w:pBdr>
        <w:spacing w:lineRule="atLeast" w:line="240" w:before="0" w:after="0"/>
        <w:ind w:start="284" w:hanging="284"/>
        <w:jc w:val="both"/>
        <w:rPr>
          <w:rFonts w:ascii="Helvetica Neue;Helvetica;Arial;" w:hAnsi="Helvetica Neue;Helvetica;Arial;"/>
          <w:color w:val="1E439C"/>
          <w:sz w:val="17"/>
        </w:rPr>
      </w:pPr>
      <w:r>
        <w:rPr>
          <w:rFonts w:ascii="Helvetica Neue;Helvetica;Arial;" w:hAnsi="Helvetica Neue;Helvetica;Arial;"/>
          <w:color w:val="1E439C"/>
          <w:sz w:val="17"/>
        </w:rPr>
        <w:t>Повторный осмотр урологом (хирургом).</w:t>
      </w:r>
    </w:p>
    <w:p>
      <w:pPr>
        <w:pStyle w:val="Normal"/>
        <w:ind w:end="-1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end="-1" w:hanging="0"/>
        <w:jc w:val="center"/>
        <w:rPr/>
      </w:pPr>
      <w:r>
        <w:rPr>
          <w:b/>
          <w:bCs/>
        </w:rPr>
        <w:t xml:space="preserve">Прием врача-гинеколога проводится по </w:t>
      </w:r>
      <w:r>
        <w:rPr>
          <w:b/>
          <w:bCs/>
        </w:rPr>
        <w:t>четвергам</w:t>
      </w:r>
      <w:r>
        <w:rPr>
          <w:b/>
          <w:bCs/>
        </w:rPr>
        <w:t xml:space="preserve"> с 1</w:t>
      </w:r>
      <w:r>
        <w:rPr>
          <w:b/>
          <w:bCs/>
        </w:rPr>
        <w:t>0:30</w:t>
      </w:r>
      <w:r>
        <w:rPr>
          <w:b/>
          <w:bCs/>
        </w:rPr>
        <w:t>-1</w:t>
      </w:r>
      <w:r>
        <w:rPr>
          <w:b/>
          <w:bCs/>
        </w:rPr>
        <w:t xml:space="preserve">4:00 </w:t>
      </w:r>
      <w:r>
        <w:rPr>
          <w:b/>
          <w:bCs/>
        </w:rPr>
        <w:t>ч, каб. №6,</w:t>
        <w:br/>
        <w:t>запись по телефону: +79644205653</w:t>
      </w:r>
    </w:p>
    <w:sectPr>
      <w:type w:val="nextPage"/>
      <w:pgSz w:w="11906" w:h="16838"/>
      <w:pgMar w:left="1134" w:right="566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Helvetica Neue">
    <w:altName w:val="Helvetica"/>
    <w:charset w:val="cc" w:characterSet="windows-125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9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ы"/>
    <w:qFormat/>
    <w:rPr>
      <w:rFonts w:ascii="OpenSymbol" w:hAnsi="OpenSymbol" w:eastAsia="OpenSymbol" w:cs="OpenSymbol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LibreOffice/7.3.3.2$Windows_X86_64 LibreOffice_project/d1d0ea68f081ee2800a922cac8f79445e4603348</Application>
  <AppVersion>15.0000</AppVersion>
  <Pages>2</Pages>
  <Words>428</Words>
  <Characters>3030</Characters>
  <CharactersWithSpaces>3407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2026-03-03T15:11:35Z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