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80" w:rsidRPr="00D05E80" w:rsidRDefault="00D05E80" w:rsidP="00D05E80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D05E80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D05E80" w:rsidRPr="00D05E80" w:rsidRDefault="00D05E80" w:rsidP="00D05E80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D05E80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D05E80" w:rsidRDefault="00D05E80" w:rsidP="00D05E80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D05E80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D05E80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E80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D05E80" w:rsidRDefault="00D05E80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E80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D05E80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E8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D05E80" w:rsidRPr="00D05E80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D05E80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E80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E649DD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 w:rsidRPr="00E649DD">
        <w:rPr>
          <w:noProof/>
          <w:color w:val="000000"/>
          <w:sz w:val="20"/>
        </w:rPr>
        <w:pict>
          <v:group id="Группа 9" o:spid="_x0000_s1026" style="position:absolute;left:0;text-align:left;margin-left:198.8pt;margin-top:22.1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Jqs7PbiAAAACgEAAA8AAABkcnMvZG93&#10;bnJldi54bWxMj8tqwzAQRfeF/oOYQneNbNnNw7UcQmi7CoUmhdCdYk1sE2tkLMV2/r7qql0O93Dv&#10;mXw9mZYN2LvGkoR4FgFDKq1uqJLwdXh7WgJzXpFWrSWUcEMH6+L+LleZtiN94rD3FQsl5DIlofa+&#10;yzh3ZY1GuZntkEJ2tr1RPpx9xXWvxlBuWi6iaM6Naigs1KrDbY3lZX81Et5HNW6S+HXYXc7b2/fh&#10;+eO4i1HKx4dp8wLM4+T/YPjVD+pQBKeTvZJ2rJWQrBbzgEpIUwEsAIuVSIGdJAiRCOBFzv+/UPwA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mqzs9uIAAAAKAQAADwAAAAAAAAAAAAAA&#10;AADsIQAAZHJzL2Rvd25yZXYueG1sUEsFBgAAAAAEAAQA8wAAAPsiAAAAAA=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A23DD7" w:rsidRPr="000D70B7" w:rsidRDefault="00A23DD7" w:rsidP="00A23DD7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</w:tblGrid>
      <w:tr w:rsidR="005B0046" w:rsidTr="00D05E80">
        <w:trPr>
          <w:trHeight w:val="3730"/>
        </w:trPr>
        <w:tc>
          <w:tcPr>
            <w:tcW w:w="392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072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D05E80" w:rsidRPr="00A23DD7" w:rsidRDefault="005B0046" w:rsidP="00A23DD7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A23DD7">
              <w:rPr>
                <w:rStyle w:val="3"/>
                <w:b/>
                <w:color w:val="000000"/>
                <w:sz w:val="28"/>
                <w:szCs w:val="28"/>
              </w:rPr>
              <w:t xml:space="preserve">ПРОГРАММА  </w:t>
            </w:r>
          </w:p>
          <w:p w:rsidR="00A23DD7" w:rsidRPr="00A23DD7" w:rsidRDefault="005B0046" w:rsidP="00A23DD7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A23DD7">
              <w:rPr>
                <w:rStyle w:val="3"/>
                <w:b/>
                <w:color w:val="000000"/>
                <w:sz w:val="28"/>
                <w:szCs w:val="28"/>
              </w:rPr>
              <w:t xml:space="preserve">ПРОФЕССИОНАЛЬНОГО </w:t>
            </w:r>
            <w:r w:rsidR="00D05E80" w:rsidRPr="00A23DD7">
              <w:rPr>
                <w:rStyle w:val="3"/>
                <w:b/>
                <w:color w:val="000000"/>
                <w:sz w:val="28"/>
                <w:szCs w:val="28"/>
              </w:rPr>
              <w:t>ОБ</w:t>
            </w:r>
            <w:r w:rsidR="00A23DD7" w:rsidRPr="00A23DD7">
              <w:rPr>
                <w:rStyle w:val="3"/>
                <w:b/>
                <w:color w:val="000000"/>
                <w:sz w:val="28"/>
                <w:szCs w:val="28"/>
              </w:rPr>
              <w:t>УЧЕНИЯ</w:t>
            </w:r>
          </w:p>
          <w:p w:rsidR="00A23DD7" w:rsidRPr="00A23DD7" w:rsidRDefault="00E81BEE" w:rsidP="00A23DD7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>
              <w:rPr>
                <w:rStyle w:val="3"/>
                <w:b/>
                <w:color w:val="000000"/>
                <w:sz w:val="28"/>
                <w:szCs w:val="28"/>
              </w:rPr>
              <w:t>(повышение</w:t>
            </w:r>
            <w:r w:rsidR="00A23DD7" w:rsidRPr="00A23DD7">
              <w:rPr>
                <w:rStyle w:val="3"/>
                <w:b/>
                <w:color w:val="000000"/>
                <w:sz w:val="28"/>
                <w:szCs w:val="28"/>
              </w:rPr>
              <w:t xml:space="preserve"> квалификации)</w:t>
            </w:r>
          </w:p>
          <w:p w:rsidR="00D05E80" w:rsidRDefault="00D05E80" w:rsidP="00A23DD7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D05E80">
              <w:rPr>
                <w:rStyle w:val="3"/>
                <w:bCs/>
                <w:color w:val="000000"/>
                <w:sz w:val="28"/>
                <w:szCs w:val="28"/>
              </w:rPr>
              <w:br/>
            </w:r>
            <w:r w:rsidR="00636F43" w:rsidRPr="00D05E80">
              <w:rPr>
                <w:rStyle w:val="3"/>
                <w:b/>
                <w:bCs/>
                <w:color w:val="000000"/>
                <w:sz w:val="28"/>
                <w:szCs w:val="28"/>
              </w:rPr>
              <w:t xml:space="preserve">РЕМОНТ СТРУКТУРНЫХ И НЕСТРУКТУРНЫХ </w:t>
            </w:r>
          </w:p>
          <w:p w:rsidR="005B0046" w:rsidRPr="00D05E80" w:rsidRDefault="00636F43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D05E80">
              <w:rPr>
                <w:rStyle w:val="3"/>
                <w:b/>
                <w:bCs/>
                <w:color w:val="000000"/>
                <w:sz w:val="28"/>
                <w:szCs w:val="28"/>
              </w:rPr>
              <w:t>ЭЛЕМЕНТОВ КУЗОВА</w:t>
            </w:r>
          </w:p>
          <w:p w:rsidR="005B0046" w:rsidRDefault="005B0046" w:rsidP="00D05E80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Pr="00D05E80" w:rsidRDefault="00D05E80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D05E80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D05E80" w:rsidRDefault="00D05E80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D05E80" w:rsidRDefault="00D05E80" w:rsidP="00D05E80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lastRenderedPageBreak/>
        <w:t>Разработчик:</w:t>
      </w:r>
    </w:p>
    <w:p w:rsidR="00D05E80" w:rsidRDefault="00D05E80" w:rsidP="00D05E80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7057C" w:rsidRDefault="00201E0F" w:rsidP="00D05E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E649D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E649D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E649D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E649D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AC1296" w:rsidRPr="00AC1296" w:rsidRDefault="00E649D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AC1296" w:rsidRPr="00AC1296" w:rsidRDefault="00E649D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201E0F" w:rsidRDefault="00E649DD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76783B" w:rsidRPr="0076783B" w:rsidRDefault="0076783B" w:rsidP="0076783B">
      <w:pPr>
        <w:spacing w:after="0"/>
        <w:ind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Hlk31220752"/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профессионального обучения (повышения квалификации) направлена на </w:t>
      </w:r>
      <w:r w:rsidRPr="00767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совершенствование профессиональных знаний, умений и навыков</w:t>
      </w:r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необходимых для профессиональной деятельности в области ремонта (замены) структурных и неструктурных элементов кузова автомобиля</w:t>
      </w:r>
    </w:p>
    <w:p w:rsidR="0076783B" w:rsidRPr="0076783B" w:rsidRDefault="0076783B" w:rsidP="0076783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Категория слушателей: </w:t>
      </w:r>
    </w:p>
    <w:p w:rsidR="0076783B" w:rsidRPr="0076783B" w:rsidRDefault="0076783B" w:rsidP="0076783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67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лица, имеющие профессию(и) рабочего(их) или должность(и) служащего(их);</w:t>
      </w:r>
    </w:p>
    <w:p w:rsidR="0076783B" w:rsidRPr="0076783B" w:rsidRDefault="0076783B" w:rsidP="0076783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67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76783B" w:rsidRPr="0076783B" w:rsidRDefault="0076783B" w:rsidP="0076783B">
      <w:pPr>
        <w:pStyle w:val="ac"/>
        <w:spacing w:line="276" w:lineRule="auto"/>
        <w:jc w:val="both"/>
        <w:rPr>
          <w:color w:val="000000" w:themeColor="text1"/>
          <w:sz w:val="28"/>
          <w:szCs w:val="28"/>
        </w:rPr>
      </w:pPr>
      <w:r w:rsidRPr="0076783B">
        <w:rPr>
          <w:color w:val="000000" w:themeColor="text1"/>
          <w:sz w:val="28"/>
          <w:szCs w:val="28"/>
        </w:rPr>
        <w:t>Формаобучения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3" w:name="_Toc27948703"/>
      <w:bookmarkEnd w:id="2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3"/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Современные нормы охраны труда, связанные с индустрией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и техническое обслуживание всех средств индивидуальной защиты и рабочей формы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рекомендации и информацию, опубликованную поставщиками или производителями товаров и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Процессы обслуживания и использования специального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процессу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конструкции кузова автомобиля и его деталям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Важность правильного обращения и утилизации экологически вредных продуктов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Потенциал вредного воздействия, которое могут оказать ремонтные материалы на окружающую среду.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Применение правил охраны труда и техники безопасности и передовых практик из индустрии кузовного ремонта.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спец. одежды и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Установку, настройку и эксплуатацию всего специализированного оборудования.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Внедрение ТО и ТБ на рабочем месте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Применять все рекомендации и указания, предоставляемые поставщиками и производителями оборудования или ремонтных материалов.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Придерживаться MSDS (Листы безопасности производителей)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Применять правильно процедуры для обработки и утилизации экологически вредных материалов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Выбирать и использовать материалы, которые являются экологически приемлемыми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Утилизацию экологически вредных материалов безопасным образом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Важность следования рекомендациям производителя по методам ремонта и гарантийных процедур.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Соответствующие типы и виды сварочных и других видов соединений.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Методы безопасного и чистого удаления мест соединений/креплений для последующего снятия повреждённых панелей для замены.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Использование, регулировка и обслуживание пневматического инструмента, используемого для снятия и замены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Принципы эксплуатации и регулировки сварочных устройств, используемых для замены панелей включая MAGS (дуговая сварка плавящимся электродом в среде активного газа с автоматической подачей проволоки), TIGW (ручная дуговая сварка неплавящимся электродом в среде инертного защитного газа), точечная сварка и MIG пайки.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Процессы и процедуры для подготовки заменяемой панели и её подгонки.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Важность точности установки структурных элементов кузова и узлов для восстановления целостности автомобиля и характеристик эксплуатации.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Принципы восстановления антикоррозионной защиты заменяемых деталей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Важность работы в пределах согласованных временных рамок.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 Качество ремонта или замены структурных элементов.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Удалять структурные элементы с минимальными повреждениями на сопряженных деталях, подготовка сопрягаемых плоскостей на новых деталях.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Подготовка заменяемых деталей для обеспечения качественной подгонки и установки.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Снимать поврежденные элементы (лонжероны/усилители, заднее крыло, стойки крыши, структурные кузовные панели и т.д.)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приварные элементы или составные панели в соответствии с требованиями к сварочным швам заводов изготовителей.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• Замена структурных элементов методом частичной или полной замены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Использование сварочных операций при замене структурных элементов с учетом соединяемых материалов, идентичности деталей и непредвиденных рисков повреждений, таких как тормозная система, топливная система и электропроводка.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структурные элементы, используя любой из методов: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Сварка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MIG пайка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Клепка и склеивание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Проведение сварочных работ необходимых для выполнения ремонта (MAGS MAGS – дуговая сварка плавящимся электродом в среде активного газа с автоматической подачей проволоки; TAGS – сварка тугоплавким электродом в среде инертного газа; Двухсторонняя точечная сварка, MIG пайка);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Зачищать сварочные швы, используя абразивные материалы.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Рекомендации по соблюдению техники безопасности при ремонте пластиковых неструктурных панелей, например, таких как бампер, фары, наружная пластиковая отделка.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Технологические операции, производимые с различными видами пластиковых панелей и бамперов, в том числе имеющих датчики парковки и системы помощи водителю (ADAS).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Технологию снятия, замены, ремонта в соответствии с требованиями завода-изготовителя.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Охрану труда и технику безопасности при выполнении работ, руководствуясь инструкцией производителя оборудования.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Производить снятие, замену, ремонт пластиковых неструктурных элементов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Правильно понимать и использовать инструкцию по ремонту от производителя и поставщика оборудования.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Выполнять ремонтные работы, необходимые для полного восстановления компонентов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Вручную тестировать датчики парковки и системы помощи водителю (ADAS) перед возвратом автомобиля клиенту.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</w:t>
      </w:r>
      <w:r w:rsidR="00D05E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5E80" w:rsidRDefault="00D05E80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5E80" w:rsidRDefault="00D05E80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AC1296" w:rsidRDefault="0076783B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4"/>
      <w:r>
        <w:rPr>
          <w:rFonts w:ascii="Times New Roman" w:hAnsi="Times New Roman" w:cs="Times New Roman"/>
          <w:color w:val="auto"/>
        </w:rPr>
        <w:t>С</w:t>
      </w:r>
      <w:r w:rsidR="00201E0F" w:rsidRPr="00AC1296">
        <w:rPr>
          <w:rFonts w:ascii="Times New Roman" w:hAnsi="Times New Roman" w:cs="Times New Roman"/>
          <w:color w:val="auto"/>
        </w:rPr>
        <w:t>ОДЕРЖАНИЕ ПРОГРАММЫ</w:t>
      </w:r>
      <w:bookmarkEnd w:id="4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780AC4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неструктурных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780AC4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пластиковых неструктурных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B0046" w:rsidTr="009302B2">
        <w:trPr>
          <w:trHeight w:val="391"/>
          <w:jc w:val="center"/>
        </w:trPr>
        <w:tc>
          <w:tcPr>
            <w:tcW w:w="229" w:type="pct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48" w:type="dxa"/>
        <w:tblInd w:w="108" w:type="dxa"/>
        <w:tblLook w:val="04A0"/>
      </w:tblPr>
      <w:tblGrid>
        <w:gridCol w:w="636"/>
        <w:gridCol w:w="4364"/>
        <w:gridCol w:w="1124"/>
        <w:gridCol w:w="982"/>
        <w:gridCol w:w="984"/>
        <w:gridCol w:w="984"/>
        <w:gridCol w:w="1274"/>
      </w:tblGrid>
      <w:tr w:rsidR="005C041C" w:rsidRPr="005C041C" w:rsidTr="005C041C">
        <w:trPr>
          <w:trHeight w:val="25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F3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r w:rsidR="00F3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</w:t>
            </w:r>
            <w:r w:rsidR="005C041C"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поврежденной части 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ремонтной вставки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элемента с применением различных типов сварки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2.6</w:t>
            </w:r>
            <w:r w:rsidR="005C041C"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неструктурных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C041C" w:rsidTr="005C04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неструктурных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Снятие и установка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Разметка, подгонка части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элемента с применением различных типов сварки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Рихтовка неструктурных элементов: ручной инструмент, споттер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3.7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пластиковых неструктурных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Снятие и установка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Устранение повреж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ения элемента с применением двухкомпонентных составов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Восстановление части элемента с применением двухкомпонентных составов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F3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76783B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6783B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76783B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76783B" w:rsidRDefault="0076783B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76783B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678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5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7678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6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7"/>
    </w:p>
    <w:p w:rsidR="00A7057C" w:rsidRPr="00201E0F" w:rsidRDefault="005C041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</w:t>
      </w:r>
      <w:r w:rsidR="00FC3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обучения по программе слушателю необходимо выполнить </w:t>
      </w:r>
      <w:r w:rsidR="0076783B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 w:rsidR="00FC3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/>
    <w:p w:rsidR="000E6ED0" w:rsidRDefault="000E6ED0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76783B" w:rsidRDefault="0076783B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76783B" w:rsidRDefault="0076783B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76783B" w:rsidRDefault="0076783B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bookmarkStart w:id="8" w:name="_GoBack"/>
      <w:bookmarkEnd w:id="8"/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040" w:rsidRDefault="00095040" w:rsidP="00A7057C">
      <w:pPr>
        <w:spacing w:after="0" w:line="240" w:lineRule="auto"/>
      </w:pPr>
      <w:r>
        <w:separator/>
      </w:r>
    </w:p>
  </w:endnote>
  <w:endnote w:type="continuationSeparator" w:id="1">
    <w:p w:rsidR="00095040" w:rsidRDefault="00095040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E649DD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E649DD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E81BEE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11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040" w:rsidRDefault="00095040" w:rsidP="00A7057C">
      <w:pPr>
        <w:spacing w:after="0" w:line="240" w:lineRule="auto"/>
      </w:pPr>
      <w:r>
        <w:separator/>
      </w:r>
    </w:p>
  </w:footnote>
  <w:footnote w:type="continuationSeparator" w:id="1">
    <w:p w:rsidR="00095040" w:rsidRDefault="00095040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8361F"/>
    <w:rsid w:val="00094F07"/>
    <w:rsid w:val="00095040"/>
    <w:rsid w:val="000B0C96"/>
    <w:rsid w:val="000E6ED0"/>
    <w:rsid w:val="001A1B44"/>
    <w:rsid w:val="001D173D"/>
    <w:rsid w:val="001F2A2A"/>
    <w:rsid w:val="00201E0F"/>
    <w:rsid w:val="00211CD2"/>
    <w:rsid w:val="002978A9"/>
    <w:rsid w:val="002D44E3"/>
    <w:rsid w:val="002D56EC"/>
    <w:rsid w:val="00313431"/>
    <w:rsid w:val="00486AB4"/>
    <w:rsid w:val="004E54E7"/>
    <w:rsid w:val="005204B5"/>
    <w:rsid w:val="00565889"/>
    <w:rsid w:val="005B0046"/>
    <w:rsid w:val="005C041C"/>
    <w:rsid w:val="00636F43"/>
    <w:rsid w:val="00694469"/>
    <w:rsid w:val="0076783B"/>
    <w:rsid w:val="00770DA8"/>
    <w:rsid w:val="00780AC4"/>
    <w:rsid w:val="007B52C4"/>
    <w:rsid w:val="009B4E0B"/>
    <w:rsid w:val="00A23DD7"/>
    <w:rsid w:val="00A61AE3"/>
    <w:rsid w:val="00A7057C"/>
    <w:rsid w:val="00A91FC9"/>
    <w:rsid w:val="00AC1296"/>
    <w:rsid w:val="00C16FA2"/>
    <w:rsid w:val="00C43782"/>
    <w:rsid w:val="00C45F23"/>
    <w:rsid w:val="00C65DC3"/>
    <w:rsid w:val="00C865BB"/>
    <w:rsid w:val="00D05E80"/>
    <w:rsid w:val="00D22BF6"/>
    <w:rsid w:val="00E61841"/>
    <w:rsid w:val="00E649DD"/>
    <w:rsid w:val="00E81BEE"/>
    <w:rsid w:val="00F24A69"/>
    <w:rsid w:val="00F35503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F6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E560-9A35-4F8B-99D2-B7095D86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14</cp:revision>
  <cp:lastPrinted>2020-03-20T05:48:00Z</cp:lastPrinted>
  <dcterms:created xsi:type="dcterms:W3CDTF">2020-01-04T19:57:00Z</dcterms:created>
  <dcterms:modified xsi:type="dcterms:W3CDTF">2020-03-20T05:49:00Z</dcterms:modified>
</cp:coreProperties>
</file>